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bookmarkStart w:id="0" w:name="_GoBack"/>
      <w:bookmarkEnd w:id="0"/>
      <w:r>
        <w:rPr>
          <w:rFonts w:asciiTheme="minorEastAsia" w:hAnsiTheme="minorEastAsia"/>
          <w:b/>
          <w:sz w:val="32"/>
          <w:szCs w:val="32"/>
        </w:rPr>
        <w:t>技术要求参数</w:t>
      </w:r>
    </w:p>
    <w:p>
      <w:pPr>
        <w:rPr>
          <w:rFonts w:asciiTheme="minorEastAsia" w:hAnsiTheme="minorEastAsia"/>
          <w:b/>
        </w:rPr>
      </w:pPr>
    </w:p>
    <w:tbl>
      <w:tblPr>
        <w:tblStyle w:val="12"/>
        <w:tblW w:w="9629" w:type="dxa"/>
        <w:jc w:val="center"/>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76"/>
        <w:gridCol w:w="746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629" w:type="dxa"/>
            <w:gridSpan w:val="3"/>
            <w:tcBorders>
              <w:top w:val="single" w:color="auto" w:sz="4" w:space="0"/>
              <w:left w:val="single" w:color="auto" w:sz="8" w:space="0"/>
              <w:bottom w:val="single" w:color="auto" w:sz="4" w:space="0"/>
              <w:right w:val="single" w:color="auto" w:sz="8" w:space="0"/>
            </w:tcBorders>
            <w:vAlign w:val="center"/>
          </w:tcPr>
          <w:p>
            <w:pPr>
              <w:rPr>
                <w:highlight w:val="yellow"/>
              </w:rPr>
            </w:pPr>
            <w:r>
              <w:rPr>
                <w:rFonts w:hint="eastAsia"/>
                <w:sz w:val="22"/>
                <w:highlight w:val="yellow"/>
              </w:rPr>
              <w:t>杀毒软件病毒更新授权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指标项</w:t>
            </w:r>
          </w:p>
        </w:tc>
        <w:tc>
          <w:tcPr>
            <w:tcW w:w="7460" w:type="dxa"/>
            <w:tcBorders>
              <w:top w:val="single" w:color="auto" w:sz="4" w:space="0"/>
              <w:left w:val="single" w:color="auto" w:sz="4" w:space="0"/>
              <w:bottom w:val="single" w:color="auto" w:sz="4" w:space="0"/>
              <w:right w:val="single" w:color="auto" w:sz="8" w:space="0"/>
            </w:tcBorders>
          </w:tcPr>
          <w:p>
            <w:pPr>
              <w:widowControl/>
              <w:snapToGrid w:val="0"/>
              <w:spacing w:line="460" w:lineRule="exact"/>
              <w:jc w:val="center"/>
              <w:rPr>
                <w:rFonts w:ascii="Arial" w:hAnsi="Arial" w:cs="Arial"/>
                <w:kern w:val="0"/>
                <w:szCs w:val="21"/>
                <w:highlight w:val="yellow"/>
              </w:rPr>
            </w:pPr>
            <w:r>
              <w:rPr>
                <w:kern w:val="0"/>
              </w:rPr>
              <w:t>技术需求指标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数量要求</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jc w:val="left"/>
              <w:rPr>
                <w:rFonts w:ascii="Arial" w:hAnsi="Arial" w:cs="Arial"/>
                <w:kern w:val="0"/>
                <w:szCs w:val="21"/>
              </w:rPr>
            </w:pPr>
            <w:r>
              <w:rPr>
                <w:rFonts w:hint="eastAsia" w:ascii="Arial" w:hAnsi="Arial" w:cs="Arial"/>
                <w:kern w:val="0"/>
                <w:szCs w:val="21"/>
              </w:rPr>
              <w:t>★提供虚拟化平台安全防护</w:t>
            </w:r>
            <w:r>
              <w:rPr>
                <w:rFonts w:ascii="Arial" w:hAnsi="Arial" w:cs="Arial"/>
                <w:kern w:val="0"/>
                <w:szCs w:val="21"/>
              </w:rPr>
              <w:t>90</w:t>
            </w:r>
            <w:r>
              <w:rPr>
                <w:rFonts w:hint="eastAsia" w:ascii="Arial" w:hAnsi="Arial" w:cs="Arial"/>
                <w:kern w:val="0"/>
                <w:szCs w:val="21"/>
              </w:rPr>
              <w:t>个宿主机安全防护续费授权。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兼容性</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提供卡巴斯基</w:t>
            </w:r>
            <w:r>
              <w:rPr>
                <w:rFonts w:ascii="Arial" w:hAnsi="Arial" w:cs="Arial"/>
                <w:kern w:val="0"/>
                <w:szCs w:val="21"/>
              </w:rPr>
              <w:t>3</w:t>
            </w:r>
            <w:r>
              <w:rPr>
                <w:rFonts w:hint="eastAsia" w:ascii="Arial" w:hAnsi="Arial" w:cs="Arial"/>
                <w:kern w:val="0"/>
                <w:szCs w:val="21"/>
              </w:rPr>
              <w:t>年软件版本及特征库免费升级服务；</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与VMware vShield完全集成，提供实时的无代理反恶意程序保护，无需在虚拟机操作系统上安装任何安全代理软件，通过专属安全虚拟机SVA与VMware接口技术集成联动进行病毒防护，和传统防病毒客户端模式的产品相比，专属安全虚拟机SVA的无代理防护模式能减少对系统硬件资源的利用率；</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基于vShield Endpoint和NSX环境的无代理防病毒功能，也可以同时提供不基于vShield Endpoint和NSX的轻代理防护模式，并支持更多虚拟化系统，支持包含VMware、Citrix、Hyper-v、华为、红帽、KVM等虚拟化平台轻量代理模式，即客户端代理程序远小于传统代理程序，通过轻代理和安全虚拟机SVA联动进行安全防护，轻代理客户端本地不进行病毒扫描操作也无需更新病毒库，轻代理模式消除虚拟化环境中反病毒带来的扫描风暴、病毒库更新风暴等问题，并可实现两种模式虚拟化防病毒系统的集中管理；</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无代理模式反病毒程序部署过程中不能对主机或虚拟机进行重启，以保障虚拟化平台业务的连续性；</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病毒防护</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支持压缩文件扫描，包含多级嵌套压缩文件，能够做到压缩包内清毒；</w:t>
            </w:r>
          </w:p>
          <w:p>
            <w:pPr>
              <w:widowControl/>
              <w:numPr>
                <w:ilvl w:val="0"/>
                <w:numId w:val="2"/>
              </w:numPr>
              <w:snapToGrid w:val="0"/>
              <w:spacing w:line="460" w:lineRule="exact"/>
              <w:ind w:left="0" w:firstLine="0"/>
              <w:jc w:val="left"/>
              <w:rPr>
                <w:rFonts w:ascii="Arial" w:hAnsi="Arial" w:cs="Arial"/>
                <w:b/>
                <w:bCs/>
                <w:kern w:val="0"/>
                <w:szCs w:val="21"/>
              </w:rPr>
            </w:pPr>
            <w:r>
              <w:rPr>
                <w:rFonts w:hint="eastAsia" w:ascii="Arial" w:hAnsi="Arial" w:cs="Arial"/>
                <w:kern w:val="0"/>
                <w:szCs w:val="21"/>
              </w:rPr>
              <w:t>★轻代理模式下支持邮件和网页反病毒，支持下列协议：POP3/SMTP/IMAP/MAPI/NNTP（</w:t>
            </w:r>
            <w:r>
              <w:rPr>
                <w:rFonts w:hint="eastAsia" w:ascii="Arial" w:hAnsi="Arial" w:cs="Arial"/>
                <w:b/>
                <w:bCs/>
                <w:kern w:val="0"/>
                <w:szCs w:val="21"/>
              </w:rPr>
              <w:t>要求提供功能截图，并加盖原厂商公章）；</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轻代理模式可提供主动防御技术，安全防护能力高于无代理模式，产品具备系统监控主动防御技术，当恶意行为对系统关键区域比如注册表进破坏或修改后，可回滚恶意软件在操作系统上执行的操作，如通过系统监控主动防御技术发现未知勒索病毒进行拦截的同时能够回滚还原被勒索病毒加密破坏的文件（</w:t>
            </w:r>
            <w:r>
              <w:rPr>
                <w:rFonts w:hint="eastAsia" w:ascii="Arial" w:hAnsi="Arial" w:cs="Arial"/>
                <w:b/>
                <w:bCs/>
                <w:kern w:val="0"/>
                <w:szCs w:val="21"/>
              </w:rPr>
              <w:t>提供产品功能截图；并加盖原厂商公章</w:t>
            </w:r>
            <w:r>
              <w:rPr>
                <w:rFonts w:hint="eastAsia" w:ascii="Arial" w:hAnsi="Arial" w:cs="Arial"/>
                <w:kern w:val="0"/>
                <w:szCs w:val="21"/>
              </w:rPr>
              <w:t>）；</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★产品支持云安全网络，能够在第一时间抵御最新威胁和零日漏洞，并可在产品界面可查看相关数据（要求提供功能截图，并加盖原厂商公章）；</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攻击防护</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无代理模式反网络攻击：够与VMware NSX接口技术集成，在虚拟分布交换机模式下提供IDS/IPS的反网络攻击防护功能；</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支持网络数据包规则的防火墙功能，通过建立防火墙策略规则对特定端口选定数据协议发送和接收网络流量；支持根据应用程序建立网络访问规则，对特定应用程序的网络活动评估和限制，阻止不合法的应用程序网络连接；</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★具备主机IPS功能，检测和抵御危险的网络活动和网络攻击，支持漏洞入侵防护技术，即系统未修补补丁程序可实现补丁自动热修复无需再安装补丁，并自动将攻击源加入攻击列表；（</w:t>
            </w:r>
            <w:r>
              <w:rPr>
                <w:rFonts w:hint="eastAsia" w:ascii="Arial" w:hAnsi="Arial" w:cs="Arial"/>
                <w:b/>
                <w:bCs/>
                <w:kern w:val="0"/>
                <w:szCs w:val="21"/>
              </w:rPr>
              <w:t>要求提供功能截图，并加盖原厂商公章）；</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工作站台合规性控制</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轻代理模式支持对应用程序进分类操作，为终端用户定制应用程序权限规则，包含应用程序系统权限规则和网络策略，权限控制至少包含启动、系统服务、进程控制、入侵中安装钩子、注入代码、低级别磁盘防护等权限控制功能（要求提供功能截图，并加盖原厂商公章）；</w:t>
            </w:r>
          </w:p>
          <w:p>
            <w:pPr>
              <w:widowControl/>
              <w:snapToGrid w:val="0"/>
              <w:spacing w:line="460" w:lineRule="exact"/>
              <w:jc w:val="left"/>
              <w:rPr>
                <w:rFonts w:ascii="Arial" w:hAnsi="Arial" w:cs="Arial"/>
                <w:kern w:val="0"/>
                <w:szCs w:val="21"/>
              </w:rPr>
            </w:pPr>
            <w:r>
              <w:rPr>
                <w:rFonts w:hint="eastAsia" w:ascii="Arial" w:hAnsi="Arial" w:cs="Arial"/>
                <w:kern w:val="0"/>
                <w:szCs w:val="21"/>
              </w:rPr>
              <w:t>控制客户端禁止读取U盘/写入U盘，能控制客户端禁止读取CDROM/写入CDROM等，能控制客户端禁止除USB键盘、USB鼠标外的其它USB设备的使用（更精细化的外设控制），能对以下控制（USB、网络、CDROM、接口等）进行计划管理（定时开放、禁用）；</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安全管理控制及安全日志报告</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b/>
                <w:bCs/>
              </w:rPr>
            </w:pPr>
            <w:r>
              <w:rPr>
                <w:rFonts w:hint="eastAsia"/>
              </w:rPr>
              <w:t>★考虑未来的安全产品扩容，可实现统一平台、统一管理和统一流程，一个管理控制中心能够管理包括物理平台（Windows、Linux等操作系统）、移动平台（Android、Apple iOS等操作系统）和虚拟化平台（VMware、Citrix、Hyper-V）在内的所有终端防护产品，并集中定制物理、移动和虚拟化平台的策略管理和报告输出（</w:t>
            </w:r>
            <w:r>
              <w:rPr>
                <w:rFonts w:hint="eastAsia"/>
                <w:b/>
                <w:bCs/>
              </w:rPr>
              <w:t>要求提供功能截图，并加盖原厂商公章）；</w:t>
            </w:r>
          </w:p>
          <w:p>
            <w:pPr>
              <w:widowControl/>
              <w:numPr>
                <w:ilvl w:val="0"/>
                <w:numId w:val="2"/>
              </w:numPr>
              <w:snapToGrid w:val="0"/>
              <w:spacing w:line="460" w:lineRule="exact"/>
              <w:ind w:left="0" w:firstLine="0"/>
              <w:jc w:val="left"/>
              <w:rPr>
                <w:b/>
                <w:bCs/>
              </w:rPr>
            </w:pPr>
            <w:r>
              <w:rPr>
                <w:rFonts w:hint="eastAsia"/>
              </w:rPr>
              <w:t>★丰富的报表功能，包括：保护状态、感染最严重的情况、客户端被网络攻击的情况、终端产品版本和病毒库版本等，并支持多种事件导出方式联动SOC系统、SIEM系统或其他威胁感知系统，支持RFC5424、Spluk（CEF格式）、Arcsight（CEF格式）及QRadar（LEEF格式）等（</w:t>
            </w:r>
            <w:r>
              <w:rPr>
                <w:rFonts w:hint="eastAsia"/>
                <w:b/>
                <w:bCs/>
              </w:rPr>
              <w:t>要求提供功能截图，并加盖原厂商公章）；</w:t>
            </w:r>
          </w:p>
          <w:p>
            <w:pPr>
              <w:widowControl/>
              <w:snapToGrid w:val="0"/>
              <w:spacing w:line="460" w:lineRule="exact"/>
              <w:jc w:val="left"/>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病毒库、规则库和产品的升级与更新</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支持以SVA安全虚拟机为单位的方式进行升级，虚拟机客户端不需单独升级；</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具有减少网络负载功能，管理控制中心可针对IP子网或者IP段进行数据传输速度的控制，通过建立相关配置规则，可对最大传输速率和时间等参数进行定义；</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★反病毒数据库条目数≥</w:t>
            </w:r>
            <w:r>
              <w:rPr>
                <w:rFonts w:ascii="Arial" w:hAnsi="Arial" w:cs="Arial"/>
                <w:kern w:val="0"/>
                <w:szCs w:val="21"/>
              </w:rPr>
              <w:t>1200</w:t>
            </w:r>
            <w:r>
              <w:rPr>
                <w:rFonts w:hint="eastAsia" w:ascii="Arial" w:hAnsi="Arial" w:cs="Arial"/>
                <w:kern w:val="0"/>
                <w:szCs w:val="21"/>
              </w:rPr>
              <w:t>万（要求提供功能截图，并加盖原厂商公章）；</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ascii="宋体" w:hAnsi="宋体" w:cs="宋体"/>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lang w:eastAsia="zh-Hans"/>
              </w:rPr>
            </w:pPr>
            <w:r>
              <w:rPr>
                <w:rFonts w:hint="eastAsia" w:ascii="宋体" w:hAnsi="宋体" w:cs="宋体"/>
                <w:bCs/>
                <w:color w:val="000000"/>
                <w:szCs w:val="21"/>
                <w:lang w:eastAsia="zh-Hans"/>
              </w:rPr>
              <w:t>服务要求</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★用户可以通过视频、语音、文字提交问题，服务工程师提供工单响应支持, 回答提问和协助解决发现到的安全风险事件，</w:t>
            </w:r>
            <w:r>
              <w:rPr>
                <w:rFonts w:hint="eastAsia" w:ascii="Arial" w:hAnsi="Arial" w:cs="Arial"/>
                <w:b/>
                <w:bCs/>
                <w:kern w:val="0"/>
                <w:szCs w:val="21"/>
              </w:rPr>
              <w:t>提供服务平台系统功能截图</w:t>
            </w:r>
            <w:r>
              <w:rPr>
                <w:rFonts w:ascii="Arial" w:hAnsi="Arial" w:cs="Arial"/>
                <w:kern w:val="0"/>
                <w:szCs w:val="21"/>
              </w:rPr>
              <w:t>；</w:t>
            </w:r>
            <w:r>
              <w:rPr>
                <w:rFonts w:hint="eastAsia" w:ascii="Arial" w:hAnsi="Arial" w:cs="Arial"/>
                <w:kern w:val="0"/>
                <w:szCs w:val="21"/>
              </w:rPr>
              <w:t>服务平台预警服务，用户可以通过服务平台系统实时看到防病毒系统的威胁数据展示，增加威胁可见性，</w:t>
            </w:r>
            <w:r>
              <w:rPr>
                <w:rFonts w:hint="eastAsia" w:ascii="Arial" w:hAnsi="Arial" w:cs="Arial"/>
                <w:b/>
                <w:bCs/>
                <w:kern w:val="0"/>
                <w:szCs w:val="21"/>
              </w:rPr>
              <w:t>提供服务平台系统功能截图</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93"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ascii="宋体" w:hAnsi="宋体" w:cs="宋体"/>
                <w:szCs w:val="21"/>
              </w:rPr>
            </w:pPr>
            <w:r>
              <w:rPr>
                <w:rFonts w:ascii="宋体" w:hAnsi="宋体" w:cs="宋体"/>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000000"/>
                <w:szCs w:val="21"/>
              </w:rPr>
            </w:pPr>
            <w:r>
              <w:rPr>
                <w:rFonts w:hint="eastAsia" w:ascii="宋体" w:hAnsi="宋体" w:cs="宋体"/>
                <w:bCs/>
                <w:color w:val="000000"/>
                <w:szCs w:val="21"/>
              </w:rPr>
              <w:t>商务资质</w:t>
            </w:r>
          </w:p>
        </w:tc>
        <w:tc>
          <w:tcPr>
            <w:tcW w:w="7460" w:type="dxa"/>
            <w:tcBorders>
              <w:top w:val="single" w:color="auto" w:sz="4" w:space="0"/>
              <w:left w:val="single" w:color="auto" w:sz="4" w:space="0"/>
              <w:bottom w:val="single" w:color="auto" w:sz="4" w:space="0"/>
              <w:right w:val="single" w:color="auto" w:sz="8" w:space="0"/>
            </w:tcBorders>
          </w:tcPr>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★产品具有质量保证体系ISO9001认证资质；</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★提供公安部计算机病毒防治产品检验中心检验报告；</w:t>
            </w:r>
          </w:p>
          <w:p>
            <w:pPr>
              <w:widowControl/>
              <w:numPr>
                <w:ilvl w:val="0"/>
                <w:numId w:val="2"/>
              </w:numPr>
              <w:snapToGrid w:val="0"/>
              <w:spacing w:line="460" w:lineRule="exact"/>
              <w:ind w:left="0" w:firstLine="0"/>
              <w:jc w:val="left"/>
              <w:rPr>
                <w:rFonts w:ascii="Arial" w:hAnsi="Arial" w:cs="Arial"/>
                <w:kern w:val="0"/>
                <w:szCs w:val="21"/>
              </w:rPr>
            </w:pPr>
            <w:r>
              <w:rPr>
                <w:rFonts w:hint="eastAsia" w:ascii="Arial" w:hAnsi="Arial" w:cs="Arial"/>
                <w:kern w:val="0"/>
                <w:szCs w:val="21"/>
              </w:rPr>
              <w:t>★提供公安部计算机信息系统安全专用产品的销售许可证。</w:t>
            </w:r>
          </w:p>
        </w:tc>
      </w:tr>
    </w:tbl>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F4B24"/>
    <w:multiLevelType w:val="multilevel"/>
    <w:tmpl w:val="2FDF4B2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01214E"/>
    <w:multiLevelType w:val="multilevel"/>
    <w:tmpl w:val="7401214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E9"/>
    <w:rsid w:val="00511E74"/>
    <w:rsid w:val="00A329E9"/>
    <w:rsid w:val="184409E6"/>
    <w:rsid w:val="25894E71"/>
    <w:rsid w:val="27DD6FAA"/>
    <w:rsid w:val="2E4348ED"/>
    <w:rsid w:val="35D57EBB"/>
    <w:rsid w:val="5C980C70"/>
    <w:rsid w:val="5ECB24E2"/>
    <w:rsid w:val="61423B7C"/>
    <w:rsid w:val="6D9F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3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3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6"/>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9"/>
    <w:unhideWhenUsed/>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0"/>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1"/>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character" w:customStyle="1" w:styleId="13">
    <w:name w:val="标题 1 字符"/>
    <w:basedOn w:val="11"/>
    <w:link w:val="2"/>
    <w:qFormat/>
    <w:uiPriority w:val="39"/>
    <w:rPr>
      <w:b/>
      <w:bCs/>
      <w:kern w:val="44"/>
      <w:sz w:val="44"/>
      <w:szCs w:val="44"/>
    </w:rPr>
  </w:style>
  <w:style w:type="character" w:customStyle="1" w:styleId="14">
    <w:name w:val="标题 2 字符"/>
    <w:basedOn w:val="11"/>
    <w:link w:val="3"/>
    <w:qFormat/>
    <w:uiPriority w:val="0"/>
    <w:rPr>
      <w:rFonts w:asciiTheme="majorHAnsi" w:hAnsiTheme="majorHAnsi" w:eastAsiaTheme="majorEastAsia" w:cstheme="majorBidi"/>
      <w:b/>
      <w:bCs/>
      <w:sz w:val="32"/>
      <w:szCs w:val="32"/>
    </w:rPr>
  </w:style>
  <w:style w:type="character" w:customStyle="1" w:styleId="15">
    <w:name w:val="标题 3 字符"/>
    <w:basedOn w:val="11"/>
    <w:link w:val="4"/>
    <w:qFormat/>
    <w:uiPriority w:val="0"/>
    <w:rPr>
      <w:b/>
      <w:bCs/>
      <w:sz w:val="32"/>
      <w:szCs w:val="32"/>
    </w:rPr>
  </w:style>
  <w:style w:type="character" w:customStyle="1" w:styleId="16">
    <w:name w:val="标题 4 字符"/>
    <w:basedOn w:val="11"/>
    <w:link w:val="5"/>
    <w:qFormat/>
    <w:uiPriority w:val="0"/>
    <w:rPr>
      <w:rFonts w:asciiTheme="majorHAnsi" w:hAnsiTheme="majorHAnsi" w:eastAsiaTheme="majorEastAsia" w:cstheme="majorBidi"/>
      <w:b/>
      <w:bCs/>
      <w:sz w:val="28"/>
      <w:szCs w:val="28"/>
    </w:rPr>
  </w:style>
  <w:style w:type="character" w:customStyle="1" w:styleId="17">
    <w:name w:val="标题 5 字符"/>
    <w:basedOn w:val="11"/>
    <w:link w:val="6"/>
    <w:qFormat/>
    <w:uiPriority w:val="0"/>
    <w:rPr>
      <w:b/>
      <w:bCs/>
      <w:sz w:val="28"/>
      <w:szCs w:val="28"/>
    </w:rPr>
  </w:style>
  <w:style w:type="character" w:customStyle="1" w:styleId="18">
    <w:name w:val="标题 6 字符"/>
    <w:basedOn w:val="11"/>
    <w:link w:val="7"/>
    <w:qFormat/>
    <w:uiPriority w:val="9"/>
    <w:rPr>
      <w:rFonts w:asciiTheme="majorHAnsi" w:hAnsiTheme="majorHAnsi" w:eastAsiaTheme="majorEastAsia" w:cstheme="majorBidi"/>
      <w:b/>
      <w:bCs/>
      <w:sz w:val="24"/>
      <w:szCs w:val="24"/>
    </w:rPr>
  </w:style>
  <w:style w:type="character" w:customStyle="1" w:styleId="19">
    <w:name w:val="标题 7 字符"/>
    <w:basedOn w:val="11"/>
    <w:link w:val="8"/>
    <w:qFormat/>
    <w:uiPriority w:val="99"/>
    <w:rPr>
      <w:b/>
      <w:bCs/>
      <w:sz w:val="24"/>
      <w:szCs w:val="24"/>
    </w:rPr>
  </w:style>
  <w:style w:type="character" w:customStyle="1" w:styleId="20">
    <w:name w:val="标题 8 字符"/>
    <w:basedOn w:val="11"/>
    <w:link w:val="9"/>
    <w:qFormat/>
    <w:uiPriority w:val="0"/>
    <w:rPr>
      <w:rFonts w:asciiTheme="majorHAnsi" w:hAnsiTheme="majorHAnsi" w:eastAsiaTheme="majorEastAsia" w:cstheme="majorBidi"/>
      <w:sz w:val="24"/>
      <w:szCs w:val="24"/>
    </w:rPr>
  </w:style>
  <w:style w:type="character" w:customStyle="1" w:styleId="21">
    <w:name w:val="标题 9 字符"/>
    <w:basedOn w:val="11"/>
    <w:link w:val="10"/>
    <w:qFormat/>
    <w:uiPriority w:val="0"/>
    <w:rPr>
      <w:rFonts w:asciiTheme="majorHAnsi" w:hAnsiTheme="majorHAnsi" w:eastAsiaTheme="majorEastAsia" w:cstheme="majorBidi"/>
      <w:szCs w:val="21"/>
    </w:rPr>
  </w:style>
  <w:style w:type="character" w:customStyle="1" w:styleId="22">
    <w:name w:val="列出段落 字符"/>
    <w:link w:val="23"/>
    <w:qFormat/>
    <w:uiPriority w:val="34"/>
    <w:rPr>
      <w:szCs w:val="24"/>
    </w:rPr>
  </w:style>
  <w:style w:type="paragraph" w:styleId="23">
    <w:name w:val="List Paragraph"/>
    <w:basedOn w:val="1"/>
    <w:link w:val="22"/>
    <w:qFormat/>
    <w:uiPriority w:val="34"/>
    <w:pPr>
      <w:ind w:firstLine="420" w:firstLineChars="200"/>
    </w:pPr>
    <w:rPr>
      <w:szCs w:val="24"/>
    </w:rPr>
  </w:style>
  <w:style w:type="paragraph" w:customStyle="1" w:styleId="24">
    <w:name w:val="5.1.1"/>
    <w:basedOn w:val="1"/>
    <w:next w:val="23"/>
    <w:link w:val="25"/>
    <w:qFormat/>
    <w:uiPriority w:val="34"/>
    <w:pPr>
      <w:ind w:firstLine="420" w:firstLineChars="200"/>
    </w:pPr>
  </w:style>
  <w:style w:type="character" w:customStyle="1" w:styleId="25">
    <w:name w:val="列出段落 Char"/>
    <w:link w:val="24"/>
    <w:qFormat/>
    <w:uiPriority w:val="34"/>
  </w:style>
  <w:style w:type="paragraph" w:customStyle="1" w:styleId="26">
    <w:name w:val="列表段落1"/>
    <w:basedOn w:val="1"/>
    <w:qFormat/>
    <w:uiPriority w:val="0"/>
    <w:pPr>
      <w:autoSpaceDE w:val="0"/>
      <w:autoSpaceDN w:val="0"/>
      <w:ind w:left="1802" w:firstLine="570"/>
      <w:jc w:val="left"/>
    </w:pPr>
    <w:rPr>
      <w:rFonts w:ascii="宋体" w:hAnsi="宋体" w:eastAsia="宋体" w:cs="宋体"/>
      <w:kern w:val="0"/>
      <w:sz w:val="22"/>
    </w:rPr>
  </w:style>
  <w:style w:type="paragraph" w:customStyle="1" w:styleId="2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1097</Words>
  <Characters>6257</Characters>
  <Lines>52</Lines>
  <Paragraphs>14</Paragraphs>
  <TotalTime>0</TotalTime>
  <ScaleCrop>false</ScaleCrop>
  <LinksUpToDate>false</LinksUpToDate>
  <CharactersWithSpaces>7340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2020-11-29T01:11:00Z</dcterms:created>
  <dc:creator>雷华艳</dc:creator>
  <cp:lastModifiedBy>空</cp:lastModifiedBy>
  <dcterms:modified xsi:type="dcterms:W3CDTF">2022-05-10T03:22:11Z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