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黑体" w:hAnsi="黑体" w:eastAsia="黑体"/>
          <w:b/>
          <w:sz w:val="36"/>
          <w:szCs w:val="36"/>
        </w:rPr>
      </w:pPr>
      <w:bookmarkStart w:id="0" w:name="_GoBack"/>
      <w:bookmarkEnd w:id="0"/>
      <w:r>
        <w:rPr>
          <w:rFonts w:hint="eastAsia" w:ascii="黑体" w:hAnsi="黑体" w:eastAsia="黑体"/>
          <w:b/>
          <w:sz w:val="30"/>
          <w:szCs w:val="30"/>
        </w:rPr>
        <w:t>十堰市妇幼保健院水系统招标</w:t>
      </w:r>
      <w:r>
        <w:rPr>
          <w:rFonts w:hint="eastAsia" w:ascii="黑体" w:hAnsi="黑体" w:eastAsia="黑体"/>
          <w:b/>
          <w:sz w:val="30"/>
          <w:szCs w:val="30"/>
          <w:lang w:eastAsia="zh-CN"/>
        </w:rPr>
        <w:t>服务要求</w:t>
      </w:r>
      <w:r>
        <w:rPr>
          <w:rFonts w:hint="eastAsia" w:ascii="黑体" w:hAnsi="黑体" w:eastAsia="黑体"/>
          <w:b/>
          <w:sz w:val="30"/>
          <w:szCs w:val="30"/>
        </w:rPr>
        <w:t>表</w:t>
      </w:r>
    </w:p>
    <w:tbl>
      <w:tblPr>
        <w:tblStyle w:val="5"/>
        <w:tblW w:w="10443"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3630"/>
        <w:gridCol w:w="1470"/>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5" w:hRule="exact"/>
        </w:trPr>
        <w:tc>
          <w:tcPr>
            <w:tcW w:w="1944" w:type="dxa"/>
            <w:vAlign w:val="center"/>
          </w:tcPr>
          <w:p>
            <w:pP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维保项目名称</w:t>
            </w:r>
          </w:p>
        </w:tc>
        <w:tc>
          <w:tcPr>
            <w:tcW w:w="3630" w:type="dxa"/>
            <w:vAlign w:val="center"/>
          </w:tcPr>
          <w:p>
            <w:pPr>
              <w:rPr>
                <w:rFonts w:ascii="仿宋_GB2312" w:hAnsi="仿宋"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水系统运维项目（新院区+西院区）</w:t>
            </w:r>
          </w:p>
        </w:tc>
        <w:tc>
          <w:tcPr>
            <w:tcW w:w="1470" w:type="dxa"/>
            <w:vAlign w:val="center"/>
          </w:tcPr>
          <w:p>
            <w:pP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企业类别</w:t>
            </w:r>
          </w:p>
        </w:tc>
        <w:tc>
          <w:tcPr>
            <w:tcW w:w="3399" w:type="dxa"/>
            <w:vAlign w:val="center"/>
          </w:tcPr>
          <w:p>
            <w:pPr>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□市内</w:t>
            </w:r>
            <w:r>
              <w:rPr>
                <w:rFonts w:hint="eastAsia" w:ascii="仿宋_GB2312" w:hAnsi="仿宋" w:eastAsia="仿宋_GB2312"/>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国内</w:t>
            </w:r>
            <w:r>
              <w:rPr>
                <w:rFonts w:hint="eastAsia" w:ascii="仿宋_GB2312" w:hAnsi="仿宋" w:eastAsia="仿宋_GB2312" w:cs="仿宋"/>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仿宋" w:eastAsia="仿宋_GB2312" w:cs="仿宋"/>
                <w:color w:val="000000" w:themeColor="text1"/>
                <w:sz w:val="28"/>
                <w:szCs w:val="28"/>
                <w14:textFill>
                  <w14:solidFill>
                    <w14:schemeClr w14:val="tx1"/>
                  </w14:solidFill>
                </w14:textFill>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trPr>
        <w:tc>
          <w:tcPr>
            <w:tcW w:w="1944" w:type="dxa"/>
            <w:vAlign w:val="center"/>
          </w:tcPr>
          <w:p>
            <w:pPr>
              <w:rPr>
                <w:rFonts w:ascii="仿宋_GB2312" w:hAnsi="仿宋" w:eastAsia="仿宋_GB2312"/>
                <w:b/>
                <w:bCs/>
                <w:color w:val="000000" w:themeColor="text1"/>
                <w:sz w:val="28"/>
                <w:szCs w:val="28"/>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维保描述</w:t>
            </w:r>
          </w:p>
        </w:tc>
        <w:tc>
          <w:tcPr>
            <w:tcW w:w="8499" w:type="dxa"/>
            <w:gridSpan w:val="3"/>
            <w:vAlign w:val="center"/>
          </w:tcPr>
          <w:p>
            <w:pP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根据新院区+西院区环保需求，确保环保设施完好，正常使用；确保污水处理达标排放，检测结果达标；确保及时清洗消毒二次供水系统，检测结果达标。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2" w:hRule="atLeast"/>
        </w:trPr>
        <w:tc>
          <w:tcPr>
            <w:tcW w:w="1944" w:type="dxa"/>
            <w:vAlign w:val="center"/>
          </w:tcPr>
          <w:p>
            <w:pPr>
              <w:spacing w:line="276" w:lineRule="auto"/>
              <w:jc w:val="center"/>
              <w:rPr>
                <w:rFonts w:hint="eastAsia" w:ascii="仿宋_GB2312" w:hAnsi="仿宋" w:eastAsia="仿宋_GB2312"/>
                <w:b/>
                <w:bCs/>
                <w:color w:val="000000" w:themeColor="text1"/>
                <w:sz w:val="28"/>
                <w:szCs w:val="28"/>
                <w:lang w:eastAsia="zh-CN"/>
                <w14:textFill>
                  <w14:solidFill>
                    <w14:schemeClr w14:val="tx1"/>
                  </w14:solidFill>
                </w14:textFill>
              </w:rPr>
            </w:pPr>
            <w:r>
              <w:rPr>
                <w:rFonts w:hint="eastAsia" w:ascii="仿宋_GB2312" w:hAnsi="仿宋" w:eastAsia="仿宋_GB2312"/>
                <w:b/>
                <w:bCs/>
                <w:color w:val="000000" w:themeColor="text1"/>
                <w:sz w:val="28"/>
                <w:szCs w:val="28"/>
                <w14:textFill>
                  <w14:solidFill>
                    <w14:schemeClr w14:val="tx1"/>
                  </w14:solidFill>
                </w14:textFill>
              </w:rPr>
              <w:t>具体</w:t>
            </w:r>
            <w:r>
              <w:rPr>
                <w:rFonts w:hint="eastAsia" w:ascii="仿宋_GB2312" w:hAnsi="仿宋" w:eastAsia="仿宋_GB2312"/>
                <w:b/>
                <w:bCs/>
                <w:color w:val="000000" w:themeColor="text1"/>
                <w:sz w:val="28"/>
                <w:szCs w:val="28"/>
                <w:lang w:eastAsia="zh-CN"/>
                <w14:textFill>
                  <w14:solidFill>
                    <w14:schemeClr w14:val="tx1"/>
                  </w14:solidFill>
                </w14:textFill>
              </w:rPr>
              <w:t>服务要求</w:t>
            </w:r>
          </w:p>
        </w:tc>
        <w:tc>
          <w:tcPr>
            <w:tcW w:w="8499" w:type="dxa"/>
            <w:gridSpan w:val="3"/>
          </w:tcPr>
          <w:p>
            <w:pPr>
              <w:pStyle w:val="4"/>
              <w:widowControl/>
              <w:spacing w:line="21" w:lineRule="atLeast"/>
              <w:rPr>
                <w:rFonts w:ascii="仿宋" w:hAnsi="仿宋" w:eastAsia="仿宋" w:cs="仿宋"/>
                <w:color w:val="000000" w:themeColor="text1"/>
                <w14:textFill>
                  <w14:solidFill>
                    <w14:schemeClr w14:val="tx1"/>
                  </w14:solidFill>
                </w14:textFill>
              </w:rPr>
            </w:pPr>
            <w:r>
              <w:rPr>
                <w:rStyle w:val="8"/>
                <w:rFonts w:hint="eastAsia" w:ascii="仿宋" w:hAnsi="仿宋" w:eastAsia="仿宋" w:cs="仿宋"/>
                <w:color w:val="000000" w:themeColor="text1"/>
                <w14:textFill>
                  <w14:solidFill>
                    <w14:schemeClr w14:val="tx1"/>
                  </w14:solidFill>
                </w14:textFill>
              </w:rPr>
              <w:t>一、运维范围</w:t>
            </w:r>
            <w:r>
              <w:rPr>
                <w:rFonts w:hint="eastAsia" w:ascii="仿宋" w:hAnsi="仿宋" w:eastAsia="仿宋" w:cs="仿宋"/>
                <w:color w:val="000000" w:themeColor="text1"/>
                <w14:textFill>
                  <w14:solidFill>
                    <w14:schemeClr w14:val="tx1"/>
                  </w14:solidFill>
                </w14:textFill>
              </w:rPr>
              <w:t xml:space="preserve">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  环保系统的运维范围包括：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  1、污水处理站运维；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  2、在线监测设备运维；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  3、常规检测（废水、废气、在线比对等）；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  4、环保相关填报咨询工作（排污许可证执行年报等）；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  5、二次供水系统清洗消毒及检测；  </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6、日常巡查工作。</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维保公司将对维护、维修范围内出现的故障免费人工进行修复(如人为的短路、断路、设备损坏等故障则不属维修范围)，超出1000元的设备损坏上报医院，由医院采购，维保公司负责安装；如设备老化损坏，无法修复的，由医院负责购买新的设备，维保公司负责安装。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  维保过程中医院应提供必要的工作环境及人员配合。</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二、环保系统中各子系统的服务范围</w:t>
            </w:r>
            <w:r>
              <w:rPr>
                <w:rFonts w:hint="eastAsia" w:ascii="仿宋" w:hAnsi="仿宋" w:eastAsia="仿宋" w:cs="仿宋"/>
                <w:color w:val="000000" w:themeColor="text1"/>
                <w14:textFill>
                  <w14:solidFill>
                    <w14:schemeClr w14:val="tx1"/>
                  </w14:solidFill>
                </w14:textFill>
              </w:rPr>
              <w:t xml:space="preserve">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  1、污水处理站系统 </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（1）负责保证污水处理站的正常运行，每日安排专人</w:t>
            </w:r>
            <w:r>
              <w:rPr>
                <w:rFonts w:hint="eastAsia" w:ascii="仿宋" w:hAnsi="仿宋" w:eastAsia="仿宋" w:cs="仿宋"/>
                <w:color w:val="000000" w:themeColor="text1"/>
                <w:lang w:eastAsia="zh-CN"/>
                <w14:textFill>
                  <w14:solidFill>
                    <w14:schemeClr w14:val="tx1"/>
                  </w14:solidFill>
                </w14:textFill>
              </w:rPr>
              <w:t>投放污水处理药剂（药剂的使用、存储必须按照国家相关法律要求执行）、</w:t>
            </w:r>
            <w:r>
              <w:rPr>
                <w:rFonts w:hint="eastAsia" w:ascii="仿宋" w:hAnsi="仿宋" w:eastAsia="仿宋" w:cs="仿宋"/>
                <w:color w:val="000000" w:themeColor="text1"/>
                <w14:textFill>
                  <w14:solidFill>
                    <w14:schemeClr w14:val="tx1"/>
                  </w14:solidFill>
                </w14:textFill>
              </w:rPr>
              <w:t>进行巡查并填写巡查记录</w:t>
            </w:r>
            <w:r>
              <w:rPr>
                <w:rFonts w:hint="eastAsia" w:ascii="仿宋" w:hAnsi="仿宋" w:eastAsia="仿宋" w:cs="仿宋"/>
                <w:color w:val="000000" w:themeColor="text1"/>
                <w:lang w:eastAsia="zh-CN"/>
                <w14:textFill>
                  <w14:solidFill>
                    <w14:schemeClr w14:val="tx1"/>
                  </w14:solidFill>
                </w14:textFill>
              </w:rPr>
              <w:t>，建立危化品的存放、领用发放台账、并设专人管理</w:t>
            </w:r>
            <w:r>
              <w:rPr>
                <w:rFonts w:hint="eastAsia" w:ascii="仿宋" w:hAnsi="仿宋" w:eastAsia="仿宋" w:cs="仿宋"/>
                <w:color w:val="000000" w:themeColor="text1"/>
                <w14:textFill>
                  <w14:solidFill>
                    <w14:schemeClr w14:val="tx1"/>
                  </w14:solidFill>
                </w14:textFill>
              </w:rPr>
              <w:t>；</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（2）定期进行设备检查，如发现隐患提前修复；</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（3）设备维修维护，设备发生故障时1小时内维保人员到场，技术问题24小时内解决，如24小时内无法解决则向环保管理部门提交说明备案；</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（4）对污水处理系统进行技术评估，提出不合理建议；</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（5）配合院方进行不合理项整改；</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（6）负责污水处理站台账建立，包含运维台账，设备维修台账等；</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（7）负责帮助甲方建立标识标牌管理制度</w:t>
            </w:r>
            <w:r>
              <w:rPr>
                <w:rFonts w:hint="eastAsia" w:ascii="仿宋" w:hAnsi="仿宋" w:eastAsia="仿宋" w:cs="仿宋"/>
                <w:color w:val="000000" w:themeColor="text1"/>
                <w:lang w:eastAsia="zh-CN"/>
                <w14:textFill>
                  <w14:solidFill>
                    <w14:schemeClr w14:val="tx1"/>
                  </w14:solidFill>
                </w14:textFill>
              </w:rPr>
              <w:t>，配合做好与环保等主管部门的沟通协调工作，迎接各类相关检查</w:t>
            </w:r>
            <w:r>
              <w:rPr>
                <w:rFonts w:hint="eastAsia" w:ascii="仿宋" w:hAnsi="仿宋" w:eastAsia="仿宋" w:cs="仿宋"/>
                <w:color w:val="000000" w:themeColor="text1"/>
                <w14:textFill>
                  <w14:solidFill>
                    <w14:schemeClr w14:val="tx1"/>
                  </w14:solidFill>
                </w14:textFill>
              </w:rPr>
              <w:t>；</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（8）化粪池内栅渣及污泥的清理。</w:t>
            </w:r>
          </w:p>
          <w:p>
            <w:pPr>
              <w:pStyle w:val="4"/>
              <w:widowControl/>
              <w:spacing w:line="21" w:lineRule="atLeast"/>
              <w:rPr>
                <w:rFonts w:ascii="仿宋" w:hAnsi="仿宋" w:eastAsia="仿宋" w:cs="仿宋"/>
                <w:color w:val="000000" w:themeColor="text1"/>
                <w14:textFill>
                  <w14:solidFill>
                    <w14:schemeClr w14:val="tx1"/>
                  </w14:solidFill>
                </w14:textFill>
              </w:rPr>
            </w:pP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  2、污水在线监测设备系统 </w:t>
            </w:r>
          </w:p>
          <w:p>
            <w:pPr>
              <w:pStyle w:val="4"/>
              <w:widowControl/>
              <w:ind w:firstLine="48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（1）负责污水在线设备的正常运行，每日安排专人进行巡查并填写巡查记录</w:t>
            </w:r>
            <w:r>
              <w:rPr>
                <w:rFonts w:hint="eastAsia" w:ascii="仿宋" w:hAnsi="仿宋" w:eastAsia="仿宋" w:cs="仿宋"/>
                <w:color w:val="000000" w:themeColor="text1"/>
                <w:lang w:eastAsia="zh-CN"/>
                <w14:textFill>
                  <w14:solidFill>
                    <w14:schemeClr w14:val="tx1"/>
                  </w14:solidFill>
                </w14:textFill>
              </w:rPr>
              <w:t>；</w:t>
            </w:r>
          </w:p>
          <w:p>
            <w:pPr>
              <w:pStyle w:val="4"/>
              <w:widowControl/>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（2）负责在线设备的常规配件更换，超出1000元配件更换上报医院，由院方采购或委托我方采购，我方负责安装；</w:t>
            </w:r>
          </w:p>
          <w:p>
            <w:pPr>
              <w:pStyle w:val="4"/>
              <w:widowControl/>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（3）负责在线设备试剂调配；</w:t>
            </w:r>
          </w:p>
          <w:p>
            <w:pPr>
              <w:pStyle w:val="4"/>
              <w:widowControl/>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（4）负责在线设备的校准核对；</w:t>
            </w:r>
          </w:p>
          <w:p>
            <w:pPr>
              <w:pStyle w:val="4"/>
              <w:widowControl/>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（5）负责在线设备的废液处置；</w:t>
            </w:r>
          </w:p>
          <w:p>
            <w:pPr>
              <w:pStyle w:val="4"/>
              <w:widowControl/>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（6）负责在线设备的台账建立；</w:t>
            </w:r>
          </w:p>
          <w:p>
            <w:pPr>
              <w:pStyle w:val="4"/>
              <w:widowControl/>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（7）负责帮助甲方建立标识标牌管理制度。</w:t>
            </w:r>
          </w:p>
          <w:p>
            <w:pPr>
              <w:numPr>
                <w:ilvl w:val="0"/>
                <w:numId w:val="1"/>
              </w:numPr>
              <w:ind w:firstLine="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环保检测工作</w:t>
            </w:r>
          </w:p>
          <w:p>
            <w:pPr>
              <w:pStyle w:val="4"/>
              <w:widowControl/>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（1）按照排污许可证进行常规检测（提供相关资质）；</w:t>
            </w:r>
          </w:p>
          <w:p>
            <w:pPr>
              <w:pStyle w:val="4"/>
              <w:widowControl/>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eastAsia="zh-CN"/>
                <w14:textFill>
                  <w14:solidFill>
                    <w14:schemeClr w14:val="tx1"/>
                  </w14:solidFill>
                </w14:textFill>
              </w:rPr>
              <w:t>公共场所室内环境空气质量检测</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eastAsia="zh-CN"/>
                <w14:textFill>
                  <w14:solidFill>
                    <w14:schemeClr w14:val="tx1"/>
                  </w14:solidFill>
                </w14:textFill>
              </w:rPr>
              <w:t>一</w:t>
            </w:r>
            <w:r>
              <w:rPr>
                <w:rFonts w:hint="eastAsia" w:ascii="仿宋" w:hAnsi="仿宋" w:eastAsia="仿宋" w:cs="仿宋"/>
                <w:color w:val="000000" w:themeColor="text1"/>
                <w14:textFill>
                  <w14:solidFill>
                    <w14:schemeClr w14:val="tx1"/>
                  </w14:solidFill>
                </w14:textFill>
              </w:rPr>
              <w:t>次/年）；</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（3）按时提交检测报告，负责报告的真实性和数据的可靠性。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  4、环保相关填报咨询工作</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（1）排污许可证管理（申请、延续、变更）；</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（2）排污许可证年度执行报告填报；</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（3）污染防治设施运行记录台账指导；</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（4）湖北省污染源监测信息管理与共享平台监测数据填报；</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（5）生态环境统计业务系统填报；</w:t>
            </w:r>
          </w:p>
          <w:p>
            <w:pPr>
              <w:pStyle w:val="4"/>
              <w:widowControl/>
              <w:spacing w:line="21" w:lineRule="atLeast"/>
              <w:ind w:firstLine="48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（6）湖北省危险废物监管物联网系统填报指导</w:t>
            </w:r>
            <w:r>
              <w:rPr>
                <w:rFonts w:hint="eastAsia" w:ascii="仿宋" w:hAnsi="仿宋" w:eastAsia="仿宋" w:cs="仿宋"/>
                <w:color w:val="000000" w:themeColor="text1"/>
                <w:lang w:eastAsia="zh-CN"/>
                <w14:textFill>
                  <w14:solidFill>
                    <w14:schemeClr w14:val="tx1"/>
                  </w14:solidFill>
                </w14:textFill>
              </w:rPr>
              <w:t>；</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（7）环保税相关申报工作；</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（8）环保相关法律法规解读与培训。</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  5、二次供水系统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  （1）每年两次二次供水系统清洗消毒；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  （2）每次二次供水系统清洗消毒后出具检测报告，保证达标后再投用；</w:t>
            </w:r>
          </w:p>
          <w:p>
            <w:pPr>
              <w:pStyle w:val="4"/>
              <w:widowControl/>
              <w:numPr>
                <w:ilvl w:val="0"/>
                <w:numId w:val="2"/>
              </w:numPr>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建立二次供水管理台账，便于记录和管理。</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  6、日常巡查工作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  （1）负责定期巡查医疗废物的管理分类；</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（2）负责巡查台账，并配合甲方建立规范台账；</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（3）负责检查医疗废物仓库的设计管理是否合理；</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（4）负责帮助甲方建立标识标牌管理制度。</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（5）排污管道检查；</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（6）环境保护主管部门的环保备案，资料传输等；</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（7）配合甲方应对环境执法工作；</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（8）帮助甲方应对环境应急工作（编制应急预案等相关报告单独收费）。</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三、维护标准</w:t>
            </w:r>
            <w:r>
              <w:rPr>
                <w:rFonts w:hint="eastAsia" w:ascii="仿宋" w:hAnsi="仿宋" w:eastAsia="仿宋" w:cs="仿宋"/>
                <w:color w:val="000000" w:themeColor="text1"/>
                <w14:textFill>
                  <w14:solidFill>
                    <w14:schemeClr w14:val="tx1"/>
                  </w14:solidFill>
                </w14:textFill>
              </w:rPr>
              <w:t xml:space="preserve">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  1、保证环保系统正常工作且达标；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  2、维护质量必须符合经双方核定的要求，并且满足现行环保规范的要求；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3、设备发生故障，维保公司接收到故障信息或接到使用方通知一小时内派人到达现场，二十四小时内检修解除故障，如24小时内无法解决则向环保管理部门提交说明备案。在确实没有配件的情况下应及时向贵单位汇报，并采取有效的应急措施，防止出现安全事故； </w:t>
            </w:r>
          </w:p>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  4、提供相关月度、季度检测报告，以方便医院备案；</w:t>
            </w:r>
          </w:p>
          <w:p>
            <w:pPr>
              <w:spacing w:line="360" w:lineRule="auto"/>
              <w:ind w:firstLine="480" w:firstLineChars="200"/>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kern w:val="0"/>
                <w:sz w:val="24"/>
                <w:lang w:bidi="ar"/>
                <w14:textFill>
                  <w14:solidFill>
                    <w14:schemeClr w14:val="tx1"/>
                  </w14:solidFill>
                </w14:textFill>
              </w:rPr>
              <w:t>污水处理后出水水质必须满足《医疗机构水污染物排放标准》GB18466-2005表二预处理排放标准，主要指标如下：</w:t>
            </w:r>
          </w:p>
          <w:tbl>
            <w:tblPr>
              <w:tblStyle w:val="5"/>
              <w:tblW w:w="8074" w:type="dxa"/>
              <w:tblInd w:w="93" w:type="dxa"/>
              <w:tblLayout w:type="autofit"/>
              <w:tblCellMar>
                <w:top w:w="15" w:type="dxa"/>
                <w:left w:w="15" w:type="dxa"/>
                <w:bottom w:w="15" w:type="dxa"/>
                <w:right w:w="15" w:type="dxa"/>
              </w:tblCellMar>
            </w:tblPr>
            <w:tblGrid>
              <w:gridCol w:w="1572"/>
              <w:gridCol w:w="1357"/>
              <w:gridCol w:w="1260"/>
              <w:gridCol w:w="1035"/>
              <w:gridCol w:w="1365"/>
              <w:gridCol w:w="1485"/>
            </w:tblGrid>
            <w:tr>
              <w:trPr>
                <w:trHeight w:val="453" w:hRule="atLeast"/>
              </w:trPr>
              <w:tc>
                <w:tcPr>
                  <w:tcW w:w="1572" w:type="dxa"/>
                  <w:tcBorders>
                    <w:top w:val="double" w:color="000000" w:sz="4" w:space="0"/>
                    <w:left w:val="nil"/>
                    <w:bottom w:val="single" w:color="000000" w:sz="4" w:space="0"/>
                    <w:right w:val="single" w:color="000000" w:sz="4" w:space="0"/>
                  </w:tcBorders>
                  <w:tcMar>
                    <w:top w:w="0" w:type="dxa"/>
                    <w:left w:w="0" w:type="dxa"/>
                    <w:bottom w:w="0" w:type="dxa"/>
                    <w:right w:w="0" w:type="dxa"/>
                  </w:tcMar>
                  <w:vAlign w:val="center"/>
                </w:tcPr>
                <w:p>
                  <w:pPr>
                    <w:jc w:val="center"/>
                    <w:rPr>
                      <w:rFonts w:ascii="仿宋" w:hAnsi="仿宋" w:eastAsia="仿宋" w:cs="仿宋"/>
                      <w:color w:val="000000" w:themeColor="text1"/>
                      <w:kern w:val="0"/>
                      <w:sz w:val="24"/>
                      <w:lang w:bidi="ar"/>
                      <w14:textFill>
                        <w14:solidFill>
                          <w14:schemeClr w14:val="tx1"/>
                        </w14:solidFill>
                      </w14:textFill>
                    </w:rPr>
                  </w:pPr>
                </w:p>
              </w:tc>
              <w:tc>
                <w:tcPr>
                  <w:tcW w:w="1357" w:type="dxa"/>
                  <w:tcBorders>
                    <w:top w:val="doub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before="100" w:beforeAutospacing="1" w:after="100" w:afterAutospacing="1" w:line="336" w:lineRule="atLeas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CODcr（mg/l）</w:t>
                  </w:r>
                </w:p>
              </w:tc>
              <w:tc>
                <w:tcPr>
                  <w:tcW w:w="1260" w:type="dxa"/>
                  <w:tcBorders>
                    <w:top w:val="doub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before="100" w:beforeAutospacing="1" w:after="100" w:afterAutospacing="1" w:line="336" w:lineRule="atLeas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BOD5（mg/l）</w:t>
                  </w:r>
                </w:p>
              </w:tc>
              <w:tc>
                <w:tcPr>
                  <w:tcW w:w="1035" w:type="dxa"/>
                  <w:tcBorders>
                    <w:top w:val="doub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spacing w:before="100" w:beforeAutospacing="1" w:after="100" w:afterAutospacing="1" w:line="336" w:lineRule="atLeas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SS（mg/l）</w:t>
                  </w:r>
                </w:p>
              </w:tc>
              <w:tc>
                <w:tcPr>
                  <w:tcW w:w="1365" w:type="dxa"/>
                  <w:tcBorders>
                    <w:top w:val="double" w:color="000000" w:sz="4" w:space="0"/>
                    <w:left w:val="single" w:color="000000" w:sz="4" w:space="0"/>
                    <w:bottom w:val="single" w:color="000000" w:sz="4" w:space="0"/>
                    <w:right w:val="nil"/>
                  </w:tcBorders>
                  <w:tcMar>
                    <w:top w:w="0" w:type="dxa"/>
                    <w:left w:w="0" w:type="dxa"/>
                    <w:bottom w:w="0" w:type="dxa"/>
                    <w:right w:w="0" w:type="dxa"/>
                  </w:tcMar>
                  <w:vAlign w:val="center"/>
                </w:tcPr>
                <w:p>
                  <w:pPr>
                    <w:widowControl/>
                    <w:spacing w:before="100" w:beforeAutospacing="1" w:after="100" w:afterAutospacing="1" w:line="336" w:lineRule="atLeas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大肠菌群（个/l）</w:t>
                  </w:r>
                </w:p>
              </w:tc>
              <w:tc>
                <w:tcPr>
                  <w:tcW w:w="1485" w:type="dxa"/>
                  <w:tcBorders>
                    <w:top w:val="double" w:color="000000" w:sz="4" w:space="0"/>
                    <w:left w:val="single" w:color="000000" w:sz="4" w:space="0"/>
                    <w:bottom w:val="single" w:color="000000" w:sz="4" w:space="0"/>
                    <w:right w:val="nil"/>
                  </w:tcBorders>
                  <w:tcMar>
                    <w:top w:w="0" w:type="dxa"/>
                    <w:left w:w="0" w:type="dxa"/>
                    <w:bottom w:w="0" w:type="dxa"/>
                    <w:right w:w="0" w:type="dxa"/>
                  </w:tcMar>
                  <w:vAlign w:val="center"/>
                </w:tcPr>
                <w:p>
                  <w:pPr>
                    <w:widowControl/>
                    <w:spacing w:before="100" w:beforeAutospacing="1" w:after="100" w:afterAutospacing="1" w:line="336" w:lineRule="atLeas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NH3-N（mg/l）</w:t>
                  </w:r>
                </w:p>
              </w:tc>
            </w:tr>
            <w:tr>
              <w:tblPrEx>
                <w:tblCellMar>
                  <w:top w:w="15" w:type="dxa"/>
                  <w:left w:w="15" w:type="dxa"/>
                  <w:bottom w:w="15" w:type="dxa"/>
                  <w:right w:w="15" w:type="dxa"/>
                </w:tblCellMar>
              </w:tblPrEx>
              <w:trPr>
                <w:trHeight w:val="476" w:hRule="atLeast"/>
              </w:trPr>
              <w:tc>
                <w:tcPr>
                  <w:tcW w:w="1572" w:type="dxa"/>
                  <w:tcBorders>
                    <w:top w:val="single" w:color="000000" w:sz="4" w:space="0"/>
                    <w:left w:val="nil"/>
                    <w:bottom w:val="double" w:color="000000" w:sz="4" w:space="0"/>
                    <w:right w:val="single" w:color="000000" w:sz="4" w:space="0"/>
                  </w:tcBorders>
                  <w:tcMar>
                    <w:top w:w="0" w:type="dxa"/>
                    <w:left w:w="0" w:type="dxa"/>
                    <w:bottom w:w="0" w:type="dxa"/>
                    <w:right w:w="0" w:type="dxa"/>
                  </w:tcMar>
                  <w:vAlign w:val="center"/>
                </w:tcPr>
                <w:p>
                  <w:pPr>
                    <w:jc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平均值＜</w:t>
                  </w:r>
                </w:p>
              </w:tc>
              <w:tc>
                <w:tcPr>
                  <w:tcW w:w="1357" w:type="dxa"/>
                  <w:tcBorders>
                    <w:top w:val="single" w:color="000000" w:sz="4" w:space="0"/>
                    <w:left w:val="single" w:color="000000" w:sz="4" w:space="0"/>
                    <w:bottom w:val="double" w:color="000000" w:sz="4" w:space="0"/>
                    <w:right w:val="single" w:color="000000" w:sz="4" w:space="0"/>
                  </w:tcBorders>
                  <w:tcMar>
                    <w:top w:w="0" w:type="dxa"/>
                    <w:left w:w="0" w:type="dxa"/>
                    <w:bottom w:w="0" w:type="dxa"/>
                    <w:right w:w="0" w:type="dxa"/>
                  </w:tcMar>
                  <w:vAlign w:val="center"/>
                </w:tcPr>
                <w:p>
                  <w:pPr>
                    <w:widowControl/>
                    <w:spacing w:before="100" w:beforeAutospacing="1" w:after="100" w:afterAutospacing="1" w:line="336" w:lineRule="atLeas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250</w:t>
                  </w:r>
                </w:p>
              </w:tc>
              <w:tc>
                <w:tcPr>
                  <w:tcW w:w="1260" w:type="dxa"/>
                  <w:tcBorders>
                    <w:top w:val="single" w:color="000000" w:sz="4" w:space="0"/>
                    <w:left w:val="single" w:color="000000" w:sz="4" w:space="0"/>
                    <w:bottom w:val="double" w:color="000000" w:sz="4" w:space="0"/>
                    <w:right w:val="single" w:color="000000" w:sz="4" w:space="0"/>
                  </w:tcBorders>
                  <w:tcMar>
                    <w:top w:w="0" w:type="dxa"/>
                    <w:left w:w="0" w:type="dxa"/>
                    <w:bottom w:w="0" w:type="dxa"/>
                    <w:right w:w="0" w:type="dxa"/>
                  </w:tcMar>
                  <w:vAlign w:val="center"/>
                </w:tcPr>
                <w:p>
                  <w:pPr>
                    <w:widowControl/>
                    <w:spacing w:before="100" w:beforeAutospacing="1" w:after="100" w:afterAutospacing="1" w:line="336" w:lineRule="atLeas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100</w:t>
                  </w:r>
                </w:p>
              </w:tc>
              <w:tc>
                <w:tcPr>
                  <w:tcW w:w="1035" w:type="dxa"/>
                  <w:tcBorders>
                    <w:top w:val="single" w:color="000000" w:sz="4" w:space="0"/>
                    <w:left w:val="single" w:color="000000" w:sz="4" w:space="0"/>
                    <w:bottom w:val="double" w:color="000000" w:sz="4" w:space="0"/>
                    <w:right w:val="single" w:color="000000" w:sz="4" w:space="0"/>
                  </w:tcBorders>
                  <w:tcMar>
                    <w:top w:w="0" w:type="dxa"/>
                    <w:left w:w="0" w:type="dxa"/>
                    <w:bottom w:w="0" w:type="dxa"/>
                    <w:right w:w="0" w:type="dxa"/>
                  </w:tcMar>
                  <w:vAlign w:val="center"/>
                </w:tcPr>
                <w:p>
                  <w:pPr>
                    <w:widowControl/>
                    <w:spacing w:before="100" w:beforeAutospacing="1" w:after="100" w:afterAutospacing="1" w:line="336" w:lineRule="atLeas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60</w:t>
                  </w:r>
                </w:p>
              </w:tc>
              <w:tc>
                <w:tcPr>
                  <w:tcW w:w="1365" w:type="dxa"/>
                  <w:tcBorders>
                    <w:top w:val="single" w:color="000000" w:sz="4" w:space="0"/>
                    <w:left w:val="single" w:color="000000" w:sz="4" w:space="0"/>
                    <w:bottom w:val="double" w:color="000000" w:sz="4" w:space="0"/>
                    <w:right w:val="nil"/>
                  </w:tcBorders>
                  <w:tcMar>
                    <w:top w:w="0" w:type="dxa"/>
                    <w:left w:w="0" w:type="dxa"/>
                    <w:bottom w:w="0" w:type="dxa"/>
                    <w:right w:w="0" w:type="dxa"/>
                  </w:tcMar>
                  <w:vAlign w:val="center"/>
                </w:tcPr>
                <w:p>
                  <w:pPr>
                    <w:widowControl/>
                    <w:spacing w:before="100" w:beforeAutospacing="1" w:after="100" w:afterAutospacing="1" w:line="336" w:lineRule="atLeas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5000</w:t>
                  </w:r>
                </w:p>
              </w:tc>
              <w:tc>
                <w:tcPr>
                  <w:tcW w:w="1485" w:type="dxa"/>
                  <w:tcBorders>
                    <w:top w:val="single" w:color="000000" w:sz="4" w:space="0"/>
                    <w:left w:val="single" w:color="000000" w:sz="4" w:space="0"/>
                    <w:bottom w:val="double" w:color="000000" w:sz="4" w:space="0"/>
                    <w:right w:val="nil"/>
                  </w:tcBorders>
                  <w:tcMar>
                    <w:top w:w="0" w:type="dxa"/>
                    <w:left w:w="0" w:type="dxa"/>
                    <w:bottom w:w="0" w:type="dxa"/>
                    <w:right w:w="0" w:type="dxa"/>
                  </w:tcMar>
                  <w:vAlign w:val="center"/>
                </w:tcPr>
                <w:p>
                  <w:pPr>
                    <w:widowControl/>
                    <w:spacing w:before="100" w:beforeAutospacing="1" w:after="100" w:afterAutospacing="1" w:line="336" w:lineRule="atLeas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45</w:t>
                  </w:r>
                </w:p>
              </w:tc>
            </w:tr>
          </w:tbl>
          <w:p>
            <w:pPr>
              <w:pStyle w:val="4"/>
              <w:widowControl/>
              <w:spacing w:line="21" w:lineRule="atLeast"/>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四、环保设施检查维保服务方式</w:t>
            </w:r>
            <w:r>
              <w:rPr>
                <w:rFonts w:hint="eastAsia" w:ascii="仿宋" w:hAnsi="仿宋" w:eastAsia="仿宋" w:cs="仿宋"/>
                <w:color w:val="000000" w:themeColor="text1"/>
                <w14:textFill>
                  <w14:solidFill>
                    <w14:schemeClr w14:val="tx1"/>
                  </w14:solidFill>
                </w14:textFill>
              </w:rPr>
              <w:t xml:space="preserve"> </w:t>
            </w:r>
          </w:p>
          <w:p>
            <w:pPr>
              <w:pStyle w:val="4"/>
              <w:widowControl/>
              <w:spacing w:line="21" w:lineRule="atLeas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  在维保期内，对双方共同确认的维保范围内设备统一由维保公司根据要求进行检查、维修、保养。在维护保养期间所更换的材料、元器件、配件业主承担。</w:t>
            </w:r>
          </w:p>
          <w:p>
            <w:pPr>
              <w:pStyle w:val="4"/>
              <w:widowControl/>
              <w:spacing w:line="21" w:lineRule="atLeas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五、</w:t>
            </w:r>
            <w:r>
              <w:rPr>
                <w:rFonts w:hint="eastAsia" w:ascii="仿宋" w:hAnsi="仿宋" w:eastAsia="仿宋" w:cs="仿宋"/>
                <w:b/>
                <w:bCs/>
                <w:color w:val="000000" w:themeColor="text1"/>
                <w:lang w:eastAsia="zh-CN"/>
                <w14:textFill>
                  <w14:solidFill>
                    <w14:schemeClr w14:val="tx1"/>
                  </w14:solidFill>
                </w14:textFill>
              </w:rPr>
              <w:t>安全管理</w:t>
            </w:r>
            <w:r>
              <w:rPr>
                <w:rFonts w:hint="eastAsia" w:ascii="仿宋" w:hAnsi="仿宋" w:eastAsia="仿宋" w:cs="仿宋"/>
                <w:b/>
                <w:bCs/>
                <w:color w:val="000000" w:themeColor="text1"/>
                <w14:textFill>
                  <w14:solidFill>
                    <w14:schemeClr w14:val="tx1"/>
                  </w14:solidFill>
                </w14:textFill>
              </w:rPr>
              <w:t xml:space="preserve"> </w:t>
            </w:r>
          </w:p>
          <w:p>
            <w:pPr>
              <w:keepNext w:val="0"/>
              <w:keepLines w:val="0"/>
              <w:widowControl/>
              <w:suppressLineNumbers w:val="0"/>
              <w:ind w:firstLine="480" w:firstLineChars="20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委托运维方应对污水处理站工作人员做好三级安全教育培训，配备必要的个人防护用品，在进行受限空间（如进入污水池进行清淤等工作）、动火作业等高危作业时，需严格遵守国家及医院内部相关安全作业要求，进行安全规范作业。如发生安全生产事故由委托运维方承担一切后果。</w:t>
            </w:r>
          </w:p>
          <w:p>
            <w:pPr>
              <w:pStyle w:val="4"/>
              <w:widowControl/>
              <w:numPr>
                <w:ilvl w:val="0"/>
                <w:numId w:val="0"/>
              </w:numPr>
              <w:spacing w:line="21" w:lineRule="atLeas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六、</w:t>
            </w:r>
            <w:r>
              <w:rPr>
                <w:rFonts w:hint="eastAsia" w:ascii="仿宋" w:hAnsi="仿宋" w:eastAsia="仿宋" w:cs="仿宋"/>
                <w:b/>
                <w:bCs/>
                <w:color w:val="000000" w:themeColor="text1"/>
                <w14:textFill>
                  <w14:solidFill>
                    <w14:schemeClr w14:val="tx1"/>
                  </w14:solidFill>
                </w14:textFill>
              </w:rPr>
              <w:t xml:space="preserve">设备清单 </w:t>
            </w:r>
          </w:p>
          <w:p>
            <w:pPr>
              <w:ind w:firstLine="480" w:firstLineChars="200"/>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1、污水处理站（2个院区：新院区、西院区）：加药设备共2套、曝气风机共2套、生化系统共2套、相应管线共2套。</w:t>
            </w:r>
          </w:p>
          <w:p>
            <w:pPr>
              <w:ind w:firstLine="480" w:firstLineChars="200"/>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2、在线设备监测设备（2个院区：新院区、西院区）：COD检测仪、氨氮检测仪、流量计、PH、余氯、数采仪、相应管线共2套。</w:t>
            </w:r>
          </w:p>
          <w:p>
            <w:pPr>
              <w:pStyle w:val="4"/>
              <w:widowControl/>
              <w:spacing w:line="21" w:lineRule="atLeast"/>
              <w:ind w:firstLine="480" w:firstLineChars="200"/>
              <w:rPr>
                <w:rFonts w:hint="eastAsia" w:ascii="仿宋" w:hAnsi="仿宋" w:eastAsia="仿宋" w:cs="仿宋"/>
                <w:color w:val="000000" w:themeColor="text1"/>
                <w:lang w:bidi="ar"/>
                <w14:textFill>
                  <w14:solidFill>
                    <w14:schemeClr w14:val="tx1"/>
                  </w14:solidFill>
                </w14:textFill>
              </w:rPr>
            </w:pPr>
            <w:r>
              <w:rPr>
                <w:rFonts w:hint="eastAsia" w:ascii="仿宋" w:hAnsi="仿宋" w:eastAsia="仿宋" w:cs="仿宋"/>
                <w:color w:val="000000" w:themeColor="text1"/>
                <w:lang w:bidi="ar"/>
                <w14:textFill>
                  <w14:solidFill>
                    <w14:schemeClr w14:val="tx1"/>
                  </w14:solidFill>
                </w14:textFill>
              </w:rPr>
              <w:t>3、二次供水水箱（2个院区：新院区、西院区）：新院区2个160立方水箱；西院区1个20立方水箱。</w:t>
            </w:r>
          </w:p>
          <w:p>
            <w:pPr>
              <w:pStyle w:val="4"/>
              <w:widowControl/>
              <w:numPr>
                <w:ilvl w:val="0"/>
                <w:numId w:val="0"/>
              </w:numPr>
              <w:spacing w:line="21" w:lineRule="atLeast"/>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七、以上服务要求为符合性审查内容。</w:t>
            </w:r>
          </w:p>
          <w:p>
            <w:pPr>
              <w:pStyle w:val="4"/>
              <w:widowControl/>
              <w:spacing w:line="21" w:lineRule="atLeast"/>
              <w:ind w:firstLine="480" w:firstLineChars="200"/>
              <w:rPr>
                <w:rFonts w:ascii="仿宋" w:hAnsi="仿宋" w:eastAsia="仿宋" w:cs="仿宋"/>
                <w:color w:val="000000" w:themeColor="text1"/>
                <w14:textFill>
                  <w14:solidFill>
                    <w14:schemeClr w14:val="tx1"/>
                  </w14:solidFill>
                </w14:textFill>
              </w:rPr>
            </w:pPr>
          </w:p>
        </w:tc>
      </w:tr>
    </w:tbl>
    <w:p/>
    <w:sectPr>
      <w:headerReference r:id="rId3" w:type="default"/>
      <w:pgSz w:w="11906" w:h="16838"/>
      <w:pgMar w:top="568" w:right="1758"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8611B"/>
    <w:multiLevelType w:val="singleLevel"/>
    <w:tmpl w:val="A568611B"/>
    <w:lvl w:ilvl="0" w:tentative="0">
      <w:start w:val="3"/>
      <w:numFmt w:val="decimal"/>
      <w:suff w:val="nothing"/>
      <w:lvlText w:val="%1、"/>
      <w:lvlJc w:val="left"/>
    </w:lvl>
  </w:abstractNum>
  <w:abstractNum w:abstractNumId="1">
    <w:nsid w:val="6BF3C7A1"/>
    <w:multiLevelType w:val="singleLevel"/>
    <w:tmpl w:val="6BF3C7A1"/>
    <w:lvl w:ilvl="0" w:tentative="0">
      <w:start w:val="3"/>
      <w:numFmt w:val="decimal"/>
      <w:suff w:val="space"/>
      <w:lvlText w:val="（%1）"/>
      <w:lvlJc w:val="left"/>
      <w:pPr>
        <w:ind w:left="48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NTQyNjIwMTY1Yzk1MGVmODA0OWYwN2FiODI1MTMifQ=="/>
  </w:docVars>
  <w:rsids>
    <w:rsidRoot w:val="20B85C82"/>
    <w:rsid w:val="025642B3"/>
    <w:rsid w:val="061B5A17"/>
    <w:rsid w:val="086E67F0"/>
    <w:rsid w:val="10DC580C"/>
    <w:rsid w:val="20B85C82"/>
    <w:rsid w:val="23360F74"/>
    <w:rsid w:val="2EEF13D8"/>
    <w:rsid w:val="37575D8E"/>
    <w:rsid w:val="380428DF"/>
    <w:rsid w:val="3D503167"/>
    <w:rsid w:val="46804482"/>
    <w:rsid w:val="47040B7D"/>
    <w:rsid w:val="4776488B"/>
    <w:rsid w:val="4D2E3778"/>
    <w:rsid w:val="524C0143"/>
    <w:rsid w:val="527E2C2B"/>
    <w:rsid w:val="5A022C9B"/>
    <w:rsid w:val="63650284"/>
    <w:rsid w:val="669B5400"/>
    <w:rsid w:val="69217536"/>
    <w:rsid w:val="6FF0210E"/>
    <w:rsid w:val="70366DC6"/>
    <w:rsid w:val="708F16A9"/>
    <w:rsid w:val="73597D57"/>
    <w:rsid w:val="74AB5269"/>
    <w:rsid w:val="76674B66"/>
    <w:rsid w:val="79386984"/>
    <w:rsid w:val="7D262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left w:val="none" w:color="auto" w:sz="0" w:space="0"/>
      </w:pBdr>
      <w:spacing w:before="0" w:beforeAutospacing="0" w:after="150" w:afterAutospacing="0"/>
      <w:ind w:left="0" w:right="0"/>
      <w:jc w:val="left"/>
      <w:textAlignment w:val="center"/>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customStyle="1" w:styleId="9">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2070</Words>
  <Characters>2165</Characters>
  <Lines>0</Lines>
  <Paragraphs>0</Paragraphs>
  <TotalTime>0</TotalTime>
  <ScaleCrop>false</ScaleCrop>
  <LinksUpToDate>false</LinksUpToDate>
  <CharactersWithSpaces>2188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2021-01-15T09:44:00Z</dcterms:created>
  <dc:creator>H</dc:creator>
  <cp:lastModifiedBy>空</cp:lastModifiedBy>
  <dcterms:modified xsi:type="dcterms:W3CDTF">2022-07-04T09:31:33Z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6A80415B20A94EA389F5866AE95A4480</vt:lpwstr>
  </property>
</Properties>
</file>