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69C" w:rsidRDefault="0026469C" w:rsidP="0026469C">
      <w:pPr>
        <w:ind w:firstLine="640"/>
        <w:jc w:val="center"/>
        <w:rPr>
          <w:sz w:val="32"/>
          <w:szCs w:val="36"/>
          <w:lang w:val="zh-CN"/>
        </w:rPr>
      </w:pPr>
      <w:r w:rsidRPr="0026469C">
        <w:rPr>
          <w:rFonts w:hint="eastAsia"/>
          <w:sz w:val="32"/>
          <w:szCs w:val="36"/>
          <w:lang w:val="zh-CN"/>
        </w:rPr>
        <w:t>技术参数</w:t>
      </w:r>
      <w:bookmarkStart w:id="0" w:name="_Toc20538"/>
    </w:p>
    <w:p w:rsidR="0026469C" w:rsidRPr="0026469C" w:rsidRDefault="0026469C" w:rsidP="0026469C">
      <w:pPr>
        <w:pStyle w:val="a0"/>
        <w:rPr>
          <w:lang w:val="zh-CN"/>
        </w:rPr>
      </w:pPr>
    </w:p>
    <w:p w:rsidR="0026469C" w:rsidRPr="0026469C" w:rsidRDefault="0026469C" w:rsidP="0026469C">
      <w:pPr>
        <w:adjustRightInd w:val="0"/>
        <w:snapToGrid w:val="0"/>
        <w:spacing w:line="240" w:lineRule="atLeast"/>
        <w:ind w:firstLineChars="0" w:firstLine="0"/>
        <w:jc w:val="left"/>
        <w:rPr>
          <w:rFonts w:ascii="宋体" w:hAnsi="宋体"/>
          <w:b/>
          <w:sz w:val="24"/>
          <w:szCs w:val="24"/>
        </w:rPr>
      </w:pPr>
      <w:r w:rsidRPr="0026469C">
        <w:rPr>
          <w:rFonts w:ascii="宋体" w:hAnsi="宋体" w:hint="eastAsia"/>
          <w:b/>
          <w:sz w:val="24"/>
          <w:szCs w:val="24"/>
        </w:rPr>
        <w:t>一、项目维保技术要求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655"/>
      </w:tblGrid>
      <w:tr w:rsidR="0026469C" w:rsidRPr="0026469C" w:rsidTr="00147A24">
        <w:trPr>
          <w:trHeight w:val="438"/>
          <w:jc w:val="center"/>
        </w:trPr>
        <w:tc>
          <w:tcPr>
            <w:tcW w:w="1271" w:type="dxa"/>
            <w:vAlign w:val="center"/>
          </w:tcPr>
          <w:p w:rsidR="0026469C" w:rsidRPr="0026469C" w:rsidRDefault="0026469C" w:rsidP="00147A24">
            <w:pPr>
              <w:adjustRightInd w:val="0"/>
              <w:snapToGrid w:val="0"/>
              <w:spacing w:line="240" w:lineRule="atLeast"/>
              <w:ind w:firstLineChars="0" w:firstLine="0"/>
              <w:jc w:val="center"/>
              <w:rPr>
                <w:rFonts w:ascii="宋体" w:hAnsi="宋体" w:cs="华文中宋"/>
                <w:b/>
                <w:bCs/>
                <w:sz w:val="24"/>
                <w:szCs w:val="24"/>
              </w:rPr>
            </w:pPr>
            <w:r w:rsidRPr="0026469C">
              <w:rPr>
                <w:rFonts w:ascii="宋体" w:hAnsi="宋体" w:hint="eastAsia"/>
                <w:b/>
                <w:sz w:val="24"/>
                <w:szCs w:val="24"/>
              </w:rPr>
              <w:t>内容</w:t>
            </w:r>
          </w:p>
        </w:tc>
        <w:tc>
          <w:tcPr>
            <w:tcW w:w="7655" w:type="dxa"/>
            <w:vAlign w:val="center"/>
          </w:tcPr>
          <w:p w:rsidR="0026469C" w:rsidRPr="0026469C" w:rsidRDefault="0026469C" w:rsidP="00147A24">
            <w:pPr>
              <w:adjustRightInd w:val="0"/>
              <w:snapToGrid w:val="0"/>
              <w:spacing w:line="240" w:lineRule="atLeast"/>
              <w:ind w:firstLineChars="0" w:firstLine="0"/>
              <w:jc w:val="center"/>
              <w:rPr>
                <w:rFonts w:ascii="宋体" w:hAnsi="宋体" w:cs="华文中宋"/>
                <w:b/>
                <w:bCs/>
                <w:sz w:val="24"/>
                <w:szCs w:val="24"/>
              </w:rPr>
            </w:pPr>
            <w:r w:rsidRPr="0026469C">
              <w:rPr>
                <w:rFonts w:ascii="宋体" w:hAnsi="宋体"/>
                <w:b/>
                <w:sz w:val="24"/>
                <w:szCs w:val="24"/>
              </w:rPr>
              <w:t>具体性能与参数要求</w:t>
            </w:r>
          </w:p>
        </w:tc>
      </w:tr>
      <w:tr w:rsidR="0026469C" w:rsidRPr="0026469C" w:rsidTr="00147A24">
        <w:trPr>
          <w:trHeight w:val="429"/>
          <w:jc w:val="center"/>
        </w:trPr>
        <w:tc>
          <w:tcPr>
            <w:tcW w:w="1271" w:type="dxa"/>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r w:rsidRPr="0026469C">
              <w:rPr>
                <w:rFonts w:ascii="宋体" w:hAnsi="宋体" w:cs="Times New Roman" w:hint="eastAsia"/>
                <w:sz w:val="24"/>
                <w:szCs w:val="24"/>
              </w:rPr>
              <w:t>1.维护范围</w:t>
            </w:r>
          </w:p>
        </w:tc>
        <w:tc>
          <w:tcPr>
            <w:tcW w:w="7655" w:type="dxa"/>
            <w:vAlign w:val="center"/>
          </w:tcPr>
          <w:p w:rsidR="0026469C" w:rsidRPr="0026469C" w:rsidRDefault="0026469C"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cs="Times New Roman" w:hint="eastAsia"/>
                <w:sz w:val="24"/>
                <w:szCs w:val="24"/>
              </w:rPr>
              <w:t>1.1★PACS；</w:t>
            </w:r>
          </w:p>
        </w:tc>
      </w:tr>
      <w:tr w:rsidR="0026469C" w:rsidRPr="00A07406" w:rsidTr="00147A24">
        <w:trPr>
          <w:trHeight w:val="140"/>
          <w:jc w:val="center"/>
        </w:trPr>
        <w:tc>
          <w:tcPr>
            <w:tcW w:w="1271" w:type="dxa"/>
            <w:vMerge w:val="restart"/>
            <w:vAlign w:val="center"/>
          </w:tcPr>
          <w:p w:rsidR="0026469C" w:rsidRPr="0026469C" w:rsidRDefault="0026469C" w:rsidP="00147A24">
            <w:pPr>
              <w:widowControl/>
              <w:adjustRightInd w:val="0"/>
              <w:snapToGrid w:val="0"/>
              <w:spacing w:line="240" w:lineRule="atLeast"/>
              <w:ind w:firstLineChars="0" w:firstLine="0"/>
              <w:jc w:val="left"/>
              <w:rPr>
                <w:rFonts w:ascii="宋体" w:hAnsi="宋体" w:cs="Times New Roman"/>
                <w:sz w:val="24"/>
                <w:szCs w:val="24"/>
              </w:rPr>
            </w:pPr>
            <w:r w:rsidRPr="0026469C">
              <w:rPr>
                <w:rFonts w:ascii="宋体" w:hAnsi="宋体" w:cs="Times New Roman" w:hint="eastAsia"/>
                <w:sz w:val="24"/>
                <w:szCs w:val="24"/>
              </w:rPr>
              <w:t>2.维护要求</w:t>
            </w:r>
          </w:p>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26469C" w:rsidP="00A07406">
            <w:pPr>
              <w:widowControl/>
              <w:adjustRightInd w:val="0"/>
              <w:snapToGrid w:val="0"/>
              <w:spacing w:line="240" w:lineRule="atLeast"/>
              <w:ind w:firstLine="480"/>
              <w:jc w:val="left"/>
              <w:rPr>
                <w:rFonts w:ascii="宋体" w:hAnsi="宋体"/>
                <w:sz w:val="24"/>
                <w:szCs w:val="24"/>
              </w:rPr>
            </w:pPr>
            <w:r w:rsidRPr="0026469C">
              <w:rPr>
                <w:rFonts w:ascii="宋体" w:hAnsi="宋体" w:cs="Times New Roman" w:hint="eastAsia"/>
                <w:sz w:val="24"/>
                <w:szCs w:val="24"/>
              </w:rPr>
              <w:t>★</w:t>
            </w:r>
            <w:r w:rsidRPr="0026469C">
              <w:rPr>
                <w:rFonts w:ascii="宋体" w:hAnsi="宋体" w:hint="eastAsia"/>
                <w:sz w:val="24"/>
                <w:szCs w:val="24"/>
              </w:rPr>
              <w:t>2.1日常故障处理：一般信息系统故障处理；</w:t>
            </w:r>
          </w:p>
          <w:p w:rsidR="00A07406" w:rsidRDefault="00A07406" w:rsidP="00A07406">
            <w:pPr>
              <w:pStyle w:val="a0"/>
              <w:adjustRightInd w:val="0"/>
              <w:snapToGrid w:val="0"/>
              <w:spacing w:line="240" w:lineRule="atLeast"/>
              <w:ind w:left="480" w:firstLineChars="0" w:firstLine="0"/>
              <w:rPr>
                <w:rFonts w:ascii="宋体" w:hAnsi="宋体"/>
                <w:sz w:val="24"/>
                <w:szCs w:val="24"/>
              </w:rPr>
            </w:pPr>
            <w:r>
              <w:rPr>
                <w:rFonts w:ascii="宋体" w:hAnsi="宋体" w:hint="eastAsia"/>
                <w:sz w:val="24"/>
                <w:szCs w:val="24"/>
              </w:rPr>
              <w:t>（1）</w:t>
            </w:r>
            <w:r w:rsidR="0026469C" w:rsidRPr="0026469C">
              <w:rPr>
                <w:rFonts w:ascii="宋体" w:hAnsi="宋体" w:hint="eastAsia"/>
                <w:sz w:val="24"/>
                <w:szCs w:val="24"/>
              </w:rPr>
              <w:t>操作性错误导致数据出错的修正；</w:t>
            </w:r>
          </w:p>
          <w:p w:rsidR="00A07406" w:rsidRDefault="00A07406" w:rsidP="00A07406">
            <w:pPr>
              <w:pStyle w:val="a0"/>
              <w:adjustRightInd w:val="0"/>
              <w:snapToGrid w:val="0"/>
              <w:spacing w:line="240" w:lineRule="atLeast"/>
              <w:ind w:left="480" w:firstLineChars="0" w:firstLine="0"/>
              <w:rPr>
                <w:rFonts w:ascii="宋体" w:hAnsi="宋体"/>
                <w:sz w:val="24"/>
                <w:szCs w:val="24"/>
              </w:rPr>
            </w:pPr>
            <w:r>
              <w:rPr>
                <w:rFonts w:ascii="宋体" w:hAnsi="宋体" w:hint="eastAsia"/>
                <w:sz w:val="24"/>
                <w:szCs w:val="24"/>
              </w:rPr>
              <w:t>（2）</w:t>
            </w:r>
            <w:r w:rsidR="0026469C" w:rsidRPr="0026469C">
              <w:rPr>
                <w:rFonts w:ascii="宋体" w:hAnsi="宋体" w:hint="eastAsia"/>
                <w:sz w:val="24"/>
                <w:szCs w:val="24"/>
              </w:rPr>
              <w:t>院内日常报表维护；</w:t>
            </w:r>
          </w:p>
          <w:p w:rsidR="00A07406" w:rsidRDefault="00A07406" w:rsidP="00A07406">
            <w:pPr>
              <w:pStyle w:val="a0"/>
              <w:adjustRightInd w:val="0"/>
              <w:snapToGrid w:val="0"/>
              <w:spacing w:line="240" w:lineRule="atLeast"/>
              <w:ind w:left="480" w:firstLineChars="0" w:firstLine="0"/>
              <w:rPr>
                <w:rFonts w:ascii="宋体" w:hAnsi="宋体"/>
                <w:sz w:val="24"/>
                <w:szCs w:val="24"/>
              </w:rPr>
            </w:pPr>
            <w:r>
              <w:rPr>
                <w:rFonts w:ascii="宋体" w:hAnsi="宋体" w:hint="eastAsia"/>
                <w:sz w:val="24"/>
                <w:szCs w:val="24"/>
              </w:rPr>
              <w:t>（3）</w:t>
            </w:r>
            <w:r w:rsidR="0026469C" w:rsidRPr="00A07406">
              <w:rPr>
                <w:rFonts w:ascii="宋体" w:hAnsi="宋体" w:hint="eastAsia"/>
                <w:sz w:val="24"/>
                <w:szCs w:val="24"/>
              </w:rPr>
              <w:t>系统bug</w:t>
            </w:r>
            <w:r>
              <w:rPr>
                <w:rFonts w:ascii="宋体" w:hAnsi="宋体" w:hint="eastAsia"/>
                <w:sz w:val="24"/>
                <w:szCs w:val="24"/>
              </w:rPr>
              <w:t>的处理</w:t>
            </w:r>
          </w:p>
          <w:p w:rsidR="0026469C" w:rsidRPr="0026469C" w:rsidRDefault="00A07406" w:rsidP="00A07406">
            <w:pPr>
              <w:pStyle w:val="a0"/>
              <w:adjustRightInd w:val="0"/>
              <w:snapToGrid w:val="0"/>
              <w:spacing w:line="240" w:lineRule="atLeast"/>
              <w:ind w:left="480" w:firstLineChars="0" w:firstLine="0"/>
              <w:rPr>
                <w:rFonts w:ascii="宋体" w:hAnsi="宋体" w:cs="仿宋_GB2312"/>
                <w:sz w:val="24"/>
                <w:szCs w:val="24"/>
              </w:rPr>
            </w:pPr>
            <w:r>
              <w:rPr>
                <w:rFonts w:ascii="宋体" w:hAnsi="宋体" w:hint="eastAsia"/>
                <w:sz w:val="24"/>
                <w:szCs w:val="24"/>
              </w:rPr>
              <w:t>（</w:t>
            </w:r>
            <w:r w:rsidR="006C24BE">
              <w:rPr>
                <w:rFonts w:ascii="宋体" w:hAnsi="宋体"/>
                <w:sz w:val="24"/>
                <w:szCs w:val="24"/>
              </w:rPr>
              <w:t>4</w:t>
            </w:r>
            <w:r>
              <w:rPr>
                <w:rFonts w:ascii="宋体" w:hAnsi="宋体" w:hint="eastAsia"/>
                <w:sz w:val="24"/>
                <w:szCs w:val="24"/>
              </w:rPr>
              <w:t>）</w:t>
            </w:r>
            <w:r w:rsidR="0026469C" w:rsidRPr="0026469C">
              <w:rPr>
                <w:rFonts w:ascii="宋体" w:hAnsi="宋体" w:hint="eastAsia"/>
                <w:sz w:val="24"/>
                <w:szCs w:val="24"/>
              </w:rPr>
              <w:t>系统的操作指导，必要时现场培训；</w:t>
            </w:r>
          </w:p>
        </w:tc>
      </w:tr>
      <w:tr w:rsidR="0026469C" w:rsidRPr="0026469C" w:rsidTr="00147A24">
        <w:trPr>
          <w:trHeight w:val="140"/>
          <w:jc w:val="center"/>
        </w:trPr>
        <w:tc>
          <w:tcPr>
            <w:tcW w:w="1271" w:type="dxa"/>
            <w:vMerge/>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26469C"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cs="Times New Roman" w:hint="eastAsia"/>
                <w:sz w:val="24"/>
                <w:szCs w:val="24"/>
              </w:rPr>
              <w:t>▲2.</w:t>
            </w:r>
            <w:r w:rsidRPr="0026469C">
              <w:rPr>
                <w:rFonts w:ascii="宋体" w:hAnsi="宋体" w:cs="Times New Roman"/>
                <w:sz w:val="24"/>
                <w:szCs w:val="24"/>
              </w:rPr>
              <w:t>2</w:t>
            </w:r>
            <w:r w:rsidRPr="0026469C">
              <w:rPr>
                <w:rFonts w:ascii="宋体" w:hAnsi="宋体" w:cs="Times New Roman" w:hint="eastAsia"/>
                <w:sz w:val="24"/>
                <w:szCs w:val="24"/>
              </w:rPr>
              <w:t>系统重新安装：更换电脑或系统重装后，免费指导信息科人员安装系统环境和系统软件，确保系统能正常运行，</w:t>
            </w:r>
            <w:r w:rsidRPr="0026469C">
              <w:rPr>
                <w:rFonts w:ascii="宋体" w:hAnsi="宋体" w:cs="Times New Roman"/>
                <w:sz w:val="24"/>
                <w:szCs w:val="24"/>
              </w:rPr>
              <w:t>如信息科人员在指导下</w:t>
            </w:r>
            <w:r w:rsidRPr="0026469C">
              <w:rPr>
                <w:rFonts w:ascii="宋体" w:hAnsi="宋体" w:cs="Times New Roman" w:hint="eastAsia"/>
                <w:sz w:val="24"/>
                <w:szCs w:val="24"/>
              </w:rPr>
              <w:t>仍</w:t>
            </w:r>
            <w:r w:rsidRPr="0026469C">
              <w:rPr>
                <w:rFonts w:ascii="宋体" w:hAnsi="宋体" w:cs="Times New Roman"/>
                <w:sz w:val="24"/>
                <w:szCs w:val="24"/>
              </w:rPr>
              <w:t>不能完成，</w:t>
            </w:r>
            <w:r w:rsidRPr="0026469C">
              <w:rPr>
                <w:rFonts w:ascii="宋体" w:hAnsi="宋体" w:cs="Times New Roman" w:hint="eastAsia"/>
                <w:sz w:val="24"/>
                <w:szCs w:val="24"/>
              </w:rPr>
              <w:t>必须远程配合完成</w:t>
            </w:r>
            <w:r w:rsidRPr="0026469C">
              <w:rPr>
                <w:rFonts w:ascii="宋体" w:hAnsi="宋体" w:cs="Times New Roman"/>
                <w:sz w:val="24"/>
                <w:szCs w:val="24"/>
              </w:rPr>
              <w:t>安装</w:t>
            </w:r>
            <w:r w:rsidRPr="0026469C">
              <w:rPr>
                <w:rFonts w:ascii="宋体" w:hAnsi="宋体" w:cs="Times New Roman" w:hint="eastAsia"/>
                <w:sz w:val="24"/>
                <w:szCs w:val="24"/>
              </w:rPr>
              <w:t>，</w:t>
            </w:r>
            <w:r w:rsidRPr="0026469C">
              <w:rPr>
                <w:rFonts w:ascii="宋体" w:hAnsi="宋体" w:cs="Times New Roman"/>
                <w:sz w:val="24"/>
                <w:szCs w:val="24"/>
              </w:rPr>
              <w:t>必要时</w:t>
            </w:r>
            <w:r w:rsidRPr="0026469C">
              <w:rPr>
                <w:rFonts w:ascii="宋体" w:hAnsi="宋体" w:cs="Times New Roman" w:hint="eastAsia"/>
                <w:sz w:val="24"/>
                <w:szCs w:val="24"/>
              </w:rPr>
              <w:t>，</w:t>
            </w:r>
            <w:r w:rsidRPr="0026469C">
              <w:rPr>
                <w:rFonts w:ascii="宋体" w:hAnsi="宋体" w:cs="Times New Roman"/>
                <w:sz w:val="24"/>
                <w:szCs w:val="24"/>
              </w:rPr>
              <w:t>48</w:t>
            </w:r>
            <w:r w:rsidRPr="0026469C">
              <w:rPr>
                <w:rFonts w:ascii="宋体" w:hAnsi="宋体" w:cs="Times New Roman" w:hint="eastAsia"/>
                <w:sz w:val="24"/>
                <w:szCs w:val="24"/>
              </w:rPr>
              <w:t>小时内到现场完成安装；</w:t>
            </w:r>
          </w:p>
        </w:tc>
      </w:tr>
      <w:tr w:rsidR="0026469C" w:rsidRPr="0026469C" w:rsidTr="00147A24">
        <w:trPr>
          <w:trHeight w:val="140"/>
          <w:jc w:val="center"/>
        </w:trPr>
        <w:tc>
          <w:tcPr>
            <w:tcW w:w="1271" w:type="dxa"/>
            <w:vMerge/>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6C24BE"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cs="Times New Roman" w:hint="eastAsia"/>
                <w:sz w:val="24"/>
                <w:szCs w:val="24"/>
              </w:rPr>
              <w:t>▲</w:t>
            </w:r>
            <w:r w:rsidR="0026469C" w:rsidRPr="0026469C">
              <w:rPr>
                <w:rFonts w:ascii="宋体" w:hAnsi="宋体" w:cs="Times New Roman" w:hint="eastAsia"/>
                <w:sz w:val="24"/>
                <w:szCs w:val="24"/>
              </w:rPr>
              <w:t>2.</w:t>
            </w:r>
            <w:r w:rsidR="0026469C" w:rsidRPr="0026469C">
              <w:rPr>
                <w:rFonts w:ascii="宋体" w:hAnsi="宋体" w:cs="Times New Roman"/>
                <w:sz w:val="24"/>
                <w:szCs w:val="24"/>
              </w:rPr>
              <w:t>3</w:t>
            </w:r>
            <w:r w:rsidR="0026469C" w:rsidRPr="0026469C">
              <w:rPr>
                <w:rFonts w:ascii="宋体" w:hAnsi="宋体" w:cs="Times New Roman" w:hint="eastAsia"/>
                <w:sz w:val="24"/>
                <w:szCs w:val="24"/>
              </w:rPr>
              <w:t>软件问题修复：免费进行软件系统潜在问题的修复；</w:t>
            </w:r>
          </w:p>
        </w:tc>
      </w:tr>
      <w:tr w:rsidR="0026469C" w:rsidRPr="0026469C" w:rsidTr="00147A24">
        <w:trPr>
          <w:trHeight w:val="140"/>
          <w:jc w:val="center"/>
        </w:trPr>
        <w:tc>
          <w:tcPr>
            <w:tcW w:w="1271" w:type="dxa"/>
            <w:vMerge/>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26469C"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cs="Times New Roman" w:hint="eastAsia"/>
                <w:sz w:val="24"/>
                <w:szCs w:val="24"/>
              </w:rPr>
              <w:t>2.</w:t>
            </w:r>
            <w:r w:rsidRPr="0026469C">
              <w:rPr>
                <w:rFonts w:ascii="宋体" w:hAnsi="宋体" w:cs="Times New Roman"/>
                <w:sz w:val="24"/>
                <w:szCs w:val="24"/>
              </w:rPr>
              <w:t>4</w:t>
            </w:r>
            <w:r w:rsidRPr="0026469C">
              <w:rPr>
                <w:rFonts w:ascii="宋体" w:hAnsi="宋体" w:cs="Times New Roman" w:hint="eastAsia"/>
                <w:sz w:val="24"/>
                <w:szCs w:val="24"/>
              </w:rPr>
              <w:t>软件适应性修改：在软件需求不改变原有工作和业务流程的基础上，免费对软件进行小范围修改；</w:t>
            </w:r>
          </w:p>
        </w:tc>
      </w:tr>
      <w:tr w:rsidR="0026469C" w:rsidRPr="0026469C" w:rsidTr="00147A24">
        <w:trPr>
          <w:trHeight w:val="140"/>
          <w:jc w:val="center"/>
        </w:trPr>
        <w:tc>
          <w:tcPr>
            <w:tcW w:w="1271" w:type="dxa"/>
            <w:vMerge/>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26469C"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cs="Times New Roman" w:hint="eastAsia"/>
                <w:sz w:val="24"/>
                <w:szCs w:val="24"/>
              </w:rPr>
              <w:t>2.</w:t>
            </w:r>
            <w:r w:rsidRPr="0026469C">
              <w:rPr>
                <w:rFonts w:ascii="宋体" w:hAnsi="宋体" w:cs="Times New Roman"/>
                <w:sz w:val="24"/>
                <w:szCs w:val="24"/>
              </w:rPr>
              <w:t>6</w:t>
            </w:r>
            <w:r w:rsidRPr="0026469C">
              <w:rPr>
                <w:rFonts w:ascii="宋体" w:hAnsi="宋体" w:cs="Times New Roman" w:hint="eastAsia"/>
                <w:sz w:val="24"/>
                <w:szCs w:val="24"/>
              </w:rPr>
              <w:t>定期巡检：每年至少进行2</w:t>
            </w:r>
            <w:r w:rsidRPr="0026469C">
              <w:rPr>
                <w:rFonts w:ascii="宋体" w:hAnsi="宋体" w:cs="Times New Roman"/>
                <w:sz w:val="24"/>
                <w:szCs w:val="24"/>
              </w:rPr>
              <w:t>次</w:t>
            </w:r>
            <w:r w:rsidRPr="0026469C">
              <w:rPr>
                <w:rFonts w:ascii="宋体" w:hAnsi="宋体" w:cs="Times New Roman" w:hint="eastAsia"/>
                <w:sz w:val="24"/>
                <w:szCs w:val="24"/>
              </w:rPr>
              <w:t>上门巡检，了解科室运行情况，收集科室需求，并提交书面巡检报告，同时提出解决方案。需求一般免费升级处理，如涉及新增功能或工作量较大，则双方另行协商费用；</w:t>
            </w:r>
          </w:p>
        </w:tc>
      </w:tr>
      <w:tr w:rsidR="0026469C" w:rsidRPr="0026469C" w:rsidTr="00147A24">
        <w:trPr>
          <w:trHeight w:val="140"/>
          <w:jc w:val="center"/>
        </w:trPr>
        <w:tc>
          <w:tcPr>
            <w:tcW w:w="1271" w:type="dxa"/>
            <w:vMerge/>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26469C"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cs="Times New Roman" w:hint="eastAsia"/>
                <w:sz w:val="24"/>
                <w:szCs w:val="24"/>
              </w:rPr>
              <w:t>2.</w:t>
            </w:r>
            <w:r w:rsidRPr="0026469C">
              <w:rPr>
                <w:rFonts w:ascii="宋体" w:hAnsi="宋体" w:cs="Times New Roman"/>
                <w:sz w:val="24"/>
                <w:szCs w:val="24"/>
              </w:rPr>
              <w:t>7</w:t>
            </w:r>
            <w:r w:rsidRPr="0026469C">
              <w:rPr>
                <w:rFonts w:ascii="宋体" w:hAnsi="宋体" w:cs="Times New Roman" w:hint="eastAsia"/>
                <w:sz w:val="24"/>
                <w:szCs w:val="24"/>
              </w:rPr>
              <w:t xml:space="preserve"> 技术支持：软件服务方对医院定制日常维护人员进行技术支持及培训，以保证医院人员能对信息系统进行日常简单维护，并对后续新增软件与现有软件之间的顺利衔接和交接提供技术支持和建议；</w:t>
            </w:r>
          </w:p>
        </w:tc>
      </w:tr>
      <w:tr w:rsidR="0026469C" w:rsidRPr="0026469C" w:rsidTr="00147A24">
        <w:trPr>
          <w:trHeight w:val="140"/>
          <w:jc w:val="center"/>
        </w:trPr>
        <w:tc>
          <w:tcPr>
            <w:tcW w:w="1271" w:type="dxa"/>
            <w:vMerge/>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26469C"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cs="Times New Roman" w:hint="eastAsia"/>
                <w:sz w:val="24"/>
                <w:szCs w:val="24"/>
              </w:rPr>
              <w:t>2.</w:t>
            </w:r>
            <w:r w:rsidRPr="0026469C">
              <w:rPr>
                <w:rFonts w:ascii="宋体" w:hAnsi="宋体" w:cs="Times New Roman"/>
                <w:sz w:val="24"/>
                <w:szCs w:val="24"/>
              </w:rPr>
              <w:t>8</w:t>
            </w:r>
            <w:r w:rsidRPr="0026469C">
              <w:rPr>
                <w:rFonts w:ascii="宋体" w:hAnsi="宋体" w:cs="Times New Roman" w:hint="eastAsia"/>
                <w:sz w:val="24"/>
                <w:szCs w:val="24"/>
              </w:rPr>
              <w:t>能对PACS工作站服务端进行安装、维护，对工作站的客户端进行安装、维护；</w:t>
            </w:r>
          </w:p>
        </w:tc>
      </w:tr>
      <w:tr w:rsidR="0026469C" w:rsidRPr="0026469C" w:rsidTr="00147A24">
        <w:trPr>
          <w:trHeight w:val="140"/>
          <w:jc w:val="center"/>
        </w:trPr>
        <w:tc>
          <w:tcPr>
            <w:tcW w:w="1271" w:type="dxa"/>
            <w:vMerge/>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26469C"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cs="Times New Roman" w:hint="eastAsia"/>
                <w:sz w:val="24"/>
                <w:szCs w:val="24"/>
              </w:rPr>
              <w:t>2</w:t>
            </w:r>
            <w:r w:rsidRPr="0026469C">
              <w:rPr>
                <w:rFonts w:ascii="宋体" w:hAnsi="宋体" w:cs="Times New Roman"/>
                <w:sz w:val="24"/>
                <w:szCs w:val="24"/>
              </w:rPr>
              <w:t>.9</w:t>
            </w:r>
            <w:r w:rsidRPr="0026469C">
              <w:rPr>
                <w:rFonts w:ascii="宋体" w:hAnsi="宋体" w:cs="宋体" w:hint="eastAsia"/>
                <w:color w:val="000000"/>
                <w:kern w:val="0"/>
                <w:sz w:val="24"/>
                <w:szCs w:val="24"/>
                <w:lang w:bidi="ar"/>
              </w:rPr>
              <w:t>保证达到系统正常运行率≥9</w:t>
            </w:r>
            <w:r w:rsidRPr="0026469C">
              <w:rPr>
                <w:rFonts w:ascii="宋体" w:hAnsi="宋体" w:cs="宋体"/>
                <w:color w:val="000000"/>
                <w:kern w:val="0"/>
                <w:sz w:val="24"/>
                <w:szCs w:val="24"/>
                <w:lang w:bidi="ar"/>
              </w:rPr>
              <w:t>8</w:t>
            </w:r>
            <w:r w:rsidRPr="0026469C">
              <w:rPr>
                <w:rFonts w:ascii="宋体" w:hAnsi="宋体" w:cs="宋体" w:hint="eastAsia"/>
                <w:color w:val="000000"/>
                <w:kern w:val="0"/>
                <w:sz w:val="24"/>
                <w:szCs w:val="24"/>
                <w:lang w:bidi="ar"/>
              </w:rPr>
              <w:t>%，或年故障时间不超过</w:t>
            </w:r>
            <w:r w:rsidRPr="0026469C">
              <w:rPr>
                <w:rFonts w:ascii="宋体" w:hAnsi="宋体" w:cs="宋体"/>
                <w:color w:val="000000"/>
                <w:kern w:val="0"/>
                <w:sz w:val="24"/>
                <w:szCs w:val="24"/>
                <w:lang w:bidi="ar"/>
              </w:rPr>
              <w:t>1</w:t>
            </w:r>
            <w:r w:rsidRPr="0026469C">
              <w:rPr>
                <w:rFonts w:ascii="宋体" w:hAnsi="宋体" w:cs="宋体" w:hint="eastAsia"/>
                <w:color w:val="000000"/>
                <w:kern w:val="0"/>
                <w:sz w:val="24"/>
                <w:szCs w:val="24"/>
                <w:lang w:bidi="ar"/>
              </w:rPr>
              <w:t>0天（每超过一天保修期顺延3天），若故障时间超过</w:t>
            </w:r>
            <w:r w:rsidRPr="0026469C">
              <w:rPr>
                <w:rFonts w:ascii="宋体" w:hAnsi="宋体" w:cs="宋体"/>
                <w:color w:val="000000"/>
                <w:kern w:val="0"/>
                <w:sz w:val="24"/>
                <w:szCs w:val="24"/>
                <w:lang w:bidi="ar"/>
              </w:rPr>
              <w:t>1</w:t>
            </w:r>
            <w:r w:rsidRPr="0026469C">
              <w:rPr>
                <w:rFonts w:ascii="宋体" w:hAnsi="宋体" w:cs="宋体" w:hint="eastAsia"/>
                <w:color w:val="000000"/>
                <w:kern w:val="0"/>
                <w:sz w:val="24"/>
                <w:szCs w:val="24"/>
                <w:lang w:bidi="ar"/>
              </w:rPr>
              <w:t>0天，付款顺延1个月。</w:t>
            </w:r>
          </w:p>
        </w:tc>
      </w:tr>
      <w:tr w:rsidR="0026469C" w:rsidRPr="0026469C" w:rsidTr="00147A24">
        <w:trPr>
          <w:trHeight w:val="140"/>
          <w:jc w:val="center"/>
        </w:trPr>
        <w:tc>
          <w:tcPr>
            <w:tcW w:w="1271" w:type="dxa"/>
            <w:vMerge w:val="restart"/>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r w:rsidRPr="0026469C">
              <w:rPr>
                <w:rFonts w:ascii="宋体" w:hAnsi="宋体" w:cs="Times New Roman" w:hint="eastAsia"/>
                <w:bCs/>
                <w:sz w:val="24"/>
                <w:szCs w:val="24"/>
              </w:rPr>
              <w:t>3.系统现有问题处理</w:t>
            </w:r>
          </w:p>
        </w:tc>
        <w:tc>
          <w:tcPr>
            <w:tcW w:w="7655" w:type="dxa"/>
            <w:vAlign w:val="center"/>
          </w:tcPr>
          <w:p w:rsidR="007F5C09" w:rsidRDefault="007F5C09"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cs="Times New Roman" w:hint="eastAsia"/>
                <w:sz w:val="24"/>
                <w:szCs w:val="24"/>
              </w:rPr>
              <w:t>▲</w:t>
            </w:r>
            <w:r>
              <w:rPr>
                <w:rFonts w:ascii="宋体" w:hAnsi="宋体" w:cs="仿宋_GB2312" w:hint="eastAsia"/>
                <w:sz w:val="24"/>
                <w:szCs w:val="24"/>
              </w:rPr>
              <w:t>现有问题处理：</w:t>
            </w:r>
          </w:p>
          <w:p w:rsidR="0026469C" w:rsidRPr="0026469C" w:rsidRDefault="007F5C09" w:rsidP="007F5C09">
            <w:pPr>
              <w:widowControl/>
              <w:adjustRightInd w:val="0"/>
              <w:snapToGrid w:val="0"/>
              <w:spacing w:line="240" w:lineRule="atLeast"/>
              <w:ind w:firstLine="480"/>
              <w:jc w:val="left"/>
              <w:rPr>
                <w:rFonts w:ascii="宋体" w:hAnsi="宋体" w:cs="仿宋_GB2312"/>
                <w:sz w:val="24"/>
                <w:szCs w:val="24"/>
              </w:rPr>
            </w:pPr>
            <w:r>
              <w:rPr>
                <w:rFonts w:ascii="宋体" w:hAnsi="宋体" w:cs="仿宋_GB2312" w:hint="eastAsia"/>
                <w:sz w:val="24"/>
                <w:szCs w:val="24"/>
              </w:rPr>
              <w:t>（1）</w:t>
            </w:r>
            <w:r w:rsidR="0026469C" w:rsidRPr="0026469C">
              <w:rPr>
                <w:rFonts w:ascii="宋体" w:hAnsi="宋体" w:cs="仿宋_GB2312" w:hint="eastAsia"/>
                <w:sz w:val="24"/>
                <w:szCs w:val="24"/>
              </w:rPr>
              <w:t>配合完成检查电子申请单数据对接</w:t>
            </w:r>
            <w:r w:rsidR="0026469C">
              <w:rPr>
                <w:rFonts w:ascii="宋体" w:hAnsi="宋体" w:cs="仿宋_GB2312" w:hint="eastAsia"/>
                <w:sz w:val="24"/>
                <w:szCs w:val="24"/>
              </w:rPr>
              <w:t>，申请单优化</w:t>
            </w:r>
          </w:p>
        </w:tc>
      </w:tr>
      <w:tr w:rsidR="0026469C" w:rsidRPr="0026469C" w:rsidTr="00147A24">
        <w:trPr>
          <w:trHeight w:val="140"/>
          <w:jc w:val="center"/>
        </w:trPr>
        <w:tc>
          <w:tcPr>
            <w:tcW w:w="1271" w:type="dxa"/>
            <w:vMerge/>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7F5C09" w:rsidP="00147A24">
            <w:pPr>
              <w:widowControl/>
              <w:adjustRightInd w:val="0"/>
              <w:snapToGrid w:val="0"/>
              <w:spacing w:line="240" w:lineRule="atLeast"/>
              <w:ind w:firstLine="480"/>
              <w:jc w:val="left"/>
              <w:rPr>
                <w:rFonts w:ascii="宋体" w:hAnsi="宋体" w:cs="仿宋_GB2312"/>
                <w:sz w:val="24"/>
                <w:szCs w:val="24"/>
              </w:rPr>
            </w:pPr>
            <w:r>
              <w:rPr>
                <w:rFonts w:ascii="宋体" w:hAnsi="宋体" w:cs="仿宋_GB2312" w:hint="eastAsia"/>
                <w:sz w:val="24"/>
                <w:szCs w:val="24"/>
              </w:rPr>
              <w:t>（2）</w:t>
            </w:r>
            <w:r w:rsidR="0026469C">
              <w:rPr>
                <w:rFonts w:ascii="宋体" w:hAnsi="宋体" w:cs="仿宋_GB2312" w:hint="eastAsia"/>
                <w:sz w:val="24"/>
                <w:szCs w:val="24"/>
              </w:rPr>
              <w:t>配合完成报告格式修改</w:t>
            </w:r>
          </w:p>
        </w:tc>
      </w:tr>
      <w:tr w:rsidR="0026469C" w:rsidRPr="0026469C" w:rsidTr="00147A24">
        <w:trPr>
          <w:trHeight w:val="140"/>
          <w:jc w:val="center"/>
        </w:trPr>
        <w:tc>
          <w:tcPr>
            <w:tcW w:w="1271" w:type="dxa"/>
            <w:vMerge/>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p>
        </w:tc>
        <w:tc>
          <w:tcPr>
            <w:tcW w:w="7655" w:type="dxa"/>
            <w:vAlign w:val="center"/>
          </w:tcPr>
          <w:p w:rsidR="0026469C" w:rsidRPr="0026469C" w:rsidRDefault="007F5C09" w:rsidP="0026469C">
            <w:pPr>
              <w:widowControl/>
              <w:adjustRightInd w:val="0"/>
              <w:snapToGrid w:val="0"/>
              <w:spacing w:line="240" w:lineRule="atLeast"/>
              <w:ind w:firstLine="480"/>
              <w:jc w:val="left"/>
              <w:rPr>
                <w:rFonts w:ascii="宋体" w:hAnsi="宋体" w:cs="仿宋_GB2312"/>
                <w:sz w:val="24"/>
                <w:szCs w:val="24"/>
              </w:rPr>
            </w:pPr>
            <w:r>
              <w:rPr>
                <w:rFonts w:ascii="宋体" w:hAnsi="宋体" w:cs="仿宋_GB2312" w:hint="eastAsia"/>
                <w:sz w:val="24"/>
                <w:szCs w:val="24"/>
              </w:rPr>
              <w:t>（3）</w:t>
            </w:r>
            <w:r w:rsidR="0026469C" w:rsidRPr="0026469C">
              <w:rPr>
                <w:rFonts w:ascii="宋体" w:hAnsi="宋体" w:cs="仿宋_GB2312" w:hint="eastAsia"/>
                <w:sz w:val="24"/>
                <w:szCs w:val="24"/>
              </w:rPr>
              <w:t>病人检查报告确认后由检查系统将报告内容反馈给EMR系统，请求</w:t>
            </w:r>
            <w:r w:rsidR="0026469C" w:rsidRPr="0026469C">
              <w:rPr>
                <w:rFonts w:ascii="宋体" w:hAnsi="宋体" w:cs="仿宋_GB2312"/>
                <w:sz w:val="24"/>
                <w:szCs w:val="24"/>
              </w:rPr>
              <w:t>由</w:t>
            </w:r>
            <w:r w:rsidR="0026469C" w:rsidRPr="0026469C">
              <w:rPr>
                <w:rFonts w:ascii="宋体" w:hAnsi="宋体" w:cs="仿宋_GB2312" w:hint="eastAsia"/>
                <w:sz w:val="24"/>
                <w:szCs w:val="24"/>
              </w:rPr>
              <w:t>PACS</w:t>
            </w:r>
            <w:r w:rsidR="0026469C" w:rsidRPr="0026469C">
              <w:rPr>
                <w:rFonts w:ascii="宋体" w:hAnsi="宋体" w:cs="仿宋_GB2312"/>
                <w:sz w:val="24"/>
                <w:szCs w:val="24"/>
              </w:rPr>
              <w:t>系统触发</w:t>
            </w:r>
            <w:r w:rsidR="0026469C" w:rsidRPr="0026469C">
              <w:rPr>
                <w:rFonts w:ascii="宋体" w:hAnsi="宋体" w:cs="仿宋_GB2312" w:hint="eastAsia"/>
                <w:sz w:val="24"/>
                <w:szCs w:val="24"/>
              </w:rPr>
              <w:t>，在病历页面点击查看按钮，可以调阅PACS提供的报告连接查看报告内容</w:t>
            </w:r>
          </w:p>
        </w:tc>
      </w:tr>
      <w:tr w:rsidR="0026469C" w:rsidRPr="0026469C" w:rsidTr="00147A24">
        <w:trPr>
          <w:trHeight w:val="544"/>
          <w:jc w:val="center"/>
        </w:trPr>
        <w:tc>
          <w:tcPr>
            <w:tcW w:w="1271" w:type="dxa"/>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r w:rsidRPr="0026469C">
              <w:rPr>
                <w:rFonts w:ascii="宋体" w:hAnsi="宋体" w:cs="Times New Roman" w:hint="eastAsia"/>
                <w:bCs/>
                <w:sz w:val="24"/>
                <w:szCs w:val="24"/>
              </w:rPr>
              <w:t>4.接口</w:t>
            </w:r>
          </w:p>
        </w:tc>
        <w:tc>
          <w:tcPr>
            <w:tcW w:w="7655" w:type="dxa"/>
            <w:vAlign w:val="center"/>
          </w:tcPr>
          <w:p w:rsidR="0026469C" w:rsidRPr="0026469C" w:rsidRDefault="0026469C" w:rsidP="00147A24">
            <w:pPr>
              <w:widowControl/>
              <w:adjustRightInd w:val="0"/>
              <w:snapToGrid w:val="0"/>
              <w:spacing w:line="240" w:lineRule="atLeast"/>
              <w:ind w:firstLine="480"/>
              <w:jc w:val="left"/>
              <w:rPr>
                <w:rFonts w:ascii="宋体" w:hAnsi="宋体" w:cs="Times New Roman"/>
                <w:bCs/>
                <w:sz w:val="24"/>
                <w:szCs w:val="24"/>
              </w:rPr>
            </w:pPr>
            <w:r w:rsidRPr="0026469C">
              <w:rPr>
                <w:rFonts w:ascii="宋体" w:hAnsi="宋体"/>
                <w:sz w:val="24"/>
                <w:szCs w:val="24"/>
              </w:rPr>
              <w:t>▲</w:t>
            </w:r>
            <w:r w:rsidRPr="0026469C">
              <w:rPr>
                <w:rFonts w:ascii="宋体" w:hAnsi="宋体" w:cs="Times New Roman" w:hint="eastAsia"/>
                <w:bCs/>
                <w:sz w:val="24"/>
                <w:szCs w:val="24"/>
              </w:rPr>
              <w:t>4.1 免费提供三台设备（超声、放射、内镜）接口，如超过数量时，接口费</w:t>
            </w:r>
            <w:r w:rsidRPr="0026469C">
              <w:rPr>
                <w:rFonts w:ascii="宋体" w:hAnsi="宋体" w:cs="Times New Roman"/>
                <w:bCs/>
                <w:sz w:val="24"/>
                <w:szCs w:val="24"/>
              </w:rPr>
              <w:t>用不能高于现阶段收费标准</w:t>
            </w:r>
            <w:r w:rsidRPr="0026469C">
              <w:rPr>
                <w:rFonts w:ascii="宋体" w:hAnsi="宋体" w:cs="Times New Roman" w:hint="eastAsia"/>
                <w:bCs/>
                <w:sz w:val="24"/>
                <w:szCs w:val="24"/>
              </w:rPr>
              <w:t>。</w:t>
            </w:r>
          </w:p>
          <w:p w:rsidR="0026469C" w:rsidRPr="0026469C" w:rsidRDefault="0026469C" w:rsidP="00147A24">
            <w:pPr>
              <w:widowControl/>
              <w:adjustRightInd w:val="0"/>
              <w:snapToGrid w:val="0"/>
              <w:spacing w:line="240" w:lineRule="atLeast"/>
              <w:ind w:firstLine="480"/>
              <w:jc w:val="left"/>
              <w:rPr>
                <w:rFonts w:ascii="宋体" w:hAnsi="宋体" w:cs="仿宋_GB2312"/>
                <w:sz w:val="24"/>
                <w:szCs w:val="24"/>
              </w:rPr>
            </w:pPr>
            <w:r w:rsidRPr="0026469C">
              <w:rPr>
                <w:rFonts w:ascii="宋体" w:hAnsi="宋体"/>
                <w:sz w:val="24"/>
                <w:szCs w:val="24"/>
              </w:rPr>
              <w:t>▲</w:t>
            </w:r>
            <w:r w:rsidRPr="0026469C">
              <w:rPr>
                <w:rFonts w:ascii="宋体" w:hAnsi="宋体" w:cs="Times New Roman"/>
                <w:bCs/>
                <w:sz w:val="24"/>
                <w:szCs w:val="24"/>
              </w:rPr>
              <w:t>4.2</w:t>
            </w:r>
            <w:r w:rsidRPr="0026469C">
              <w:rPr>
                <w:rFonts w:ascii="宋体" w:hAnsi="宋体" w:cs="Times New Roman" w:hint="eastAsia"/>
                <w:bCs/>
                <w:sz w:val="24"/>
                <w:szCs w:val="24"/>
              </w:rPr>
              <w:t>服务期内如需与第三方系统对接，免费提供试图方式，其他方式协商处理。</w:t>
            </w:r>
          </w:p>
        </w:tc>
      </w:tr>
      <w:tr w:rsidR="0026469C" w:rsidRPr="0026469C" w:rsidTr="00147A24">
        <w:trPr>
          <w:trHeight w:val="140"/>
          <w:jc w:val="center"/>
        </w:trPr>
        <w:tc>
          <w:tcPr>
            <w:tcW w:w="8926" w:type="dxa"/>
            <w:gridSpan w:val="2"/>
            <w:vAlign w:val="center"/>
          </w:tcPr>
          <w:p w:rsidR="0026469C" w:rsidRPr="0026469C" w:rsidRDefault="0026469C" w:rsidP="00147A24">
            <w:pPr>
              <w:adjustRightInd w:val="0"/>
              <w:snapToGrid w:val="0"/>
              <w:spacing w:line="240" w:lineRule="atLeast"/>
              <w:ind w:firstLineChars="0" w:firstLine="0"/>
              <w:rPr>
                <w:rFonts w:ascii="宋体" w:hAnsi="宋体" w:cs="仿宋_GB2312"/>
                <w:sz w:val="24"/>
                <w:szCs w:val="24"/>
              </w:rPr>
            </w:pPr>
            <w:r w:rsidRPr="0026469C">
              <w:rPr>
                <w:rFonts w:ascii="宋体" w:hAnsi="宋体" w:cs="仿宋_GB2312" w:hint="eastAsia"/>
                <w:sz w:val="24"/>
                <w:szCs w:val="24"/>
              </w:rPr>
              <w:t>（“★”和 “▲”参数请在“技术指标参数响应偏离表”中标注对应支撑材料页码）</w:t>
            </w:r>
          </w:p>
        </w:tc>
      </w:tr>
      <w:tr w:rsidR="0026469C" w:rsidRPr="0026469C" w:rsidTr="00147A24">
        <w:trPr>
          <w:trHeight w:val="332"/>
          <w:jc w:val="center"/>
        </w:trPr>
        <w:tc>
          <w:tcPr>
            <w:tcW w:w="8926" w:type="dxa"/>
            <w:gridSpan w:val="2"/>
          </w:tcPr>
          <w:p w:rsidR="0026469C" w:rsidRPr="0026469C" w:rsidRDefault="0026469C" w:rsidP="00147A24">
            <w:pPr>
              <w:adjustRightInd w:val="0"/>
              <w:snapToGrid w:val="0"/>
              <w:spacing w:line="240" w:lineRule="atLeast"/>
              <w:ind w:left="720" w:hangingChars="300" w:hanging="720"/>
              <w:jc w:val="left"/>
              <w:rPr>
                <w:rFonts w:ascii="宋体" w:hAnsi="宋体"/>
                <w:sz w:val="24"/>
                <w:szCs w:val="24"/>
              </w:rPr>
            </w:pPr>
            <w:r w:rsidRPr="0026469C">
              <w:rPr>
                <w:rFonts w:ascii="宋体" w:hAnsi="宋体"/>
                <w:sz w:val="24"/>
                <w:szCs w:val="24"/>
              </w:rPr>
              <w:lastRenderedPageBreak/>
              <w:t>备注：</w:t>
            </w:r>
          </w:p>
          <w:p w:rsidR="0026469C" w:rsidRPr="0026469C" w:rsidRDefault="0026469C" w:rsidP="00147A24">
            <w:pPr>
              <w:adjustRightInd w:val="0"/>
              <w:snapToGrid w:val="0"/>
              <w:spacing w:line="240" w:lineRule="atLeast"/>
              <w:ind w:left="720" w:hangingChars="300" w:hanging="720"/>
              <w:jc w:val="left"/>
              <w:rPr>
                <w:rFonts w:ascii="宋体" w:hAnsi="宋体"/>
                <w:sz w:val="24"/>
                <w:szCs w:val="24"/>
              </w:rPr>
            </w:pPr>
            <w:r w:rsidRPr="0026469C">
              <w:rPr>
                <w:rFonts w:ascii="宋体" w:hAnsi="宋体"/>
                <w:sz w:val="24"/>
                <w:szCs w:val="24"/>
              </w:rPr>
              <w:t> 1、带“★”符号项目为必须满足指标，若出现一项负偏离，则视为废标 ，需逐条说明具体理由</w:t>
            </w:r>
            <w:r w:rsidRPr="0026469C">
              <w:rPr>
                <w:rFonts w:ascii="宋体" w:hAnsi="宋体" w:hint="eastAsia"/>
                <w:sz w:val="24"/>
                <w:szCs w:val="24"/>
              </w:rPr>
              <w:t xml:space="preserve">； </w:t>
            </w:r>
            <w:r w:rsidRPr="0026469C">
              <w:rPr>
                <w:rFonts w:ascii="宋体" w:hAnsi="宋体"/>
                <w:sz w:val="24"/>
                <w:szCs w:val="24"/>
              </w:rPr>
              <w:t xml:space="preserve">  </w:t>
            </w:r>
          </w:p>
          <w:p w:rsidR="0026469C" w:rsidRPr="0026469C" w:rsidRDefault="0026469C" w:rsidP="00147A24">
            <w:pPr>
              <w:adjustRightInd w:val="0"/>
              <w:snapToGrid w:val="0"/>
              <w:spacing w:line="240" w:lineRule="atLeast"/>
              <w:ind w:left="720" w:hangingChars="300" w:hanging="720"/>
              <w:jc w:val="left"/>
              <w:rPr>
                <w:rFonts w:ascii="宋体" w:hAnsi="宋体"/>
                <w:sz w:val="24"/>
                <w:szCs w:val="24"/>
              </w:rPr>
            </w:pPr>
            <w:r w:rsidRPr="0026469C">
              <w:rPr>
                <w:rFonts w:ascii="宋体" w:hAnsi="宋体"/>
                <w:sz w:val="24"/>
                <w:szCs w:val="24"/>
              </w:rPr>
              <w:t>2、带“▲”符号项目为重要指标</w:t>
            </w:r>
            <w:r w:rsidRPr="0026469C">
              <w:rPr>
                <w:rFonts w:ascii="宋体" w:hAnsi="宋体" w:hint="eastAsia"/>
                <w:sz w:val="24"/>
                <w:szCs w:val="24"/>
              </w:rPr>
              <w:t>；</w:t>
            </w:r>
          </w:p>
          <w:p w:rsidR="0026469C" w:rsidRPr="0026469C" w:rsidRDefault="0026469C" w:rsidP="00147A24">
            <w:pPr>
              <w:adjustRightInd w:val="0"/>
              <w:snapToGrid w:val="0"/>
              <w:spacing w:line="240" w:lineRule="atLeast"/>
              <w:ind w:left="720" w:hangingChars="300" w:hanging="720"/>
              <w:jc w:val="left"/>
              <w:rPr>
                <w:rFonts w:ascii="宋体" w:hAnsi="宋体"/>
                <w:sz w:val="24"/>
                <w:szCs w:val="24"/>
              </w:rPr>
            </w:pPr>
            <w:r w:rsidRPr="0026469C">
              <w:rPr>
                <w:rFonts w:ascii="宋体" w:hAnsi="宋体"/>
                <w:sz w:val="24"/>
                <w:szCs w:val="24"/>
              </w:rPr>
              <w:t>3、其他项目为一般指标</w:t>
            </w:r>
            <w:r w:rsidRPr="0026469C">
              <w:rPr>
                <w:rFonts w:ascii="宋体" w:hAnsi="宋体" w:hint="eastAsia"/>
                <w:sz w:val="24"/>
                <w:szCs w:val="24"/>
              </w:rPr>
              <w:t>；</w:t>
            </w:r>
          </w:p>
          <w:p w:rsidR="0026469C" w:rsidRPr="0026469C" w:rsidRDefault="0026469C" w:rsidP="00147A24">
            <w:pPr>
              <w:adjustRightInd w:val="0"/>
              <w:snapToGrid w:val="0"/>
              <w:spacing w:line="240" w:lineRule="atLeast"/>
              <w:ind w:firstLineChars="0" w:firstLine="0"/>
              <w:rPr>
                <w:rFonts w:ascii="宋体" w:hAnsi="宋体"/>
                <w:sz w:val="24"/>
                <w:szCs w:val="24"/>
              </w:rPr>
            </w:pPr>
            <w:r w:rsidRPr="0026469C">
              <w:rPr>
                <w:rFonts w:ascii="宋体" w:hAnsi="宋体" w:hint="eastAsia"/>
                <w:sz w:val="24"/>
                <w:szCs w:val="24"/>
              </w:rPr>
              <w:t>4、设备配置清单在报价书-交货清单中响应即可。</w:t>
            </w:r>
          </w:p>
        </w:tc>
      </w:tr>
    </w:tbl>
    <w:bookmarkEnd w:id="0"/>
    <w:p w:rsidR="0026469C" w:rsidRPr="0026469C" w:rsidRDefault="0026469C" w:rsidP="0026469C">
      <w:pPr>
        <w:pStyle w:val="3"/>
        <w:ind w:firstLine="482"/>
        <w:rPr>
          <w:rFonts w:ascii="宋体" w:hAnsi="宋体"/>
          <w:sz w:val="24"/>
          <w:szCs w:val="24"/>
          <w:lang w:val="zh-CN"/>
        </w:rPr>
      </w:pPr>
      <w:r>
        <w:rPr>
          <w:rFonts w:ascii="宋体" w:hAnsi="宋体" w:hint="eastAsia"/>
          <w:sz w:val="24"/>
          <w:szCs w:val="24"/>
          <w:lang w:val="zh-CN"/>
        </w:rPr>
        <w:t>二、</w:t>
      </w:r>
      <w:r w:rsidRPr="0026469C">
        <w:rPr>
          <w:rFonts w:ascii="宋体" w:hAnsi="宋体" w:hint="eastAsia"/>
          <w:sz w:val="24"/>
          <w:szCs w:val="24"/>
          <w:lang w:val="zh-CN"/>
        </w:rPr>
        <w:t>售后服务</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（1）现场服务与服务回访</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维保期内，中标人提供7×24小时电话和网络远程技术支持（节假日安排人员电话或远程值班），紧急故障响应时间为远程响应30分钟内，2小时内解决问题，如不能解决，4小时内给出解决方案，必要情况下，48小时内到现场，费用由乙方承担；非紧急情况下，不需要修改软件的2个工作日内答复，4个工作日内解决；需要修改软件的，3个工作日内答复，定期完成。故障排除后，应在7天内进行服务回访，听取院方意见，确保故障隐患彻底解决。如未在规定响应时间内解决问题所产生的损失由中标方全额赔偿。若遇重大事故，且中标商未及时处理，甲方有权解除合同。</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维护期限内，技术参数要求范围内的所有内容均有中标方解决，不得收取任何费用。</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（2）系统新开发部分的接口及源代码归医院及开发商共有。</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（3）培训：根据院方需求，能对电子病历、PACS、LIS、体检系统院方管理人员进行培训，培训内容由院方规定；</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（4）其他</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①投标人必须在投标文件中对以上条款和服务承诺明确列出，承诺内容必须达到本篇及招标文件其他条款的要求。</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②一年维保合同到期后，甲方满意乙方服务的情况下，甲方可与乙方签定下一年维保合同，由乙方继续为甲方服务。若甲方不满意乙方的服务，甲方可单方面终止乙方继续为甲方服务。</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③其他未尽事宜由供需双方在采购合同中详细约定。</w:t>
      </w:r>
    </w:p>
    <w:p w:rsidR="0026469C" w:rsidRPr="0026469C" w:rsidRDefault="0026469C" w:rsidP="0026469C">
      <w:pPr>
        <w:pStyle w:val="3"/>
        <w:ind w:firstLine="482"/>
        <w:rPr>
          <w:rFonts w:ascii="宋体" w:hAnsi="宋体"/>
          <w:sz w:val="24"/>
          <w:szCs w:val="24"/>
          <w:lang w:val="zh-CN"/>
        </w:rPr>
      </w:pPr>
      <w:r w:rsidRPr="0026469C">
        <w:rPr>
          <w:rFonts w:ascii="宋体" w:hAnsi="宋体" w:hint="eastAsia"/>
          <w:sz w:val="24"/>
          <w:szCs w:val="24"/>
          <w:lang w:val="zh-CN"/>
        </w:rPr>
        <w:t>三</w:t>
      </w:r>
      <w:r>
        <w:rPr>
          <w:rFonts w:ascii="宋体" w:hAnsi="宋体" w:hint="eastAsia"/>
          <w:sz w:val="24"/>
          <w:szCs w:val="24"/>
          <w:lang w:val="zh-CN"/>
        </w:rPr>
        <w:t>、</w:t>
      </w:r>
      <w:r w:rsidRPr="0026469C">
        <w:rPr>
          <w:rFonts w:ascii="宋体" w:hAnsi="宋体" w:hint="eastAsia"/>
          <w:sz w:val="24"/>
          <w:szCs w:val="24"/>
          <w:lang w:val="zh-CN"/>
        </w:rPr>
        <w:t>专利权和保密要求</w:t>
      </w:r>
    </w:p>
    <w:p w:rsidR="0026469C" w:rsidRPr="0026469C" w:rsidRDefault="0026469C" w:rsidP="0026469C">
      <w:pPr>
        <w:ind w:firstLine="480"/>
        <w:rPr>
          <w:rFonts w:ascii="宋体" w:hAnsi="宋体"/>
          <w:sz w:val="24"/>
          <w:szCs w:val="24"/>
          <w:lang w:val="zh-CN"/>
        </w:rPr>
      </w:pPr>
      <w:r w:rsidRPr="0026469C">
        <w:rPr>
          <w:rFonts w:ascii="宋体" w:hAnsi="宋体" w:hint="eastAsia"/>
          <w:sz w:val="24"/>
          <w:szCs w:val="24"/>
          <w:lang w:val="zh-CN"/>
        </w:rPr>
        <w:t>报价方应保证使用方在使用该货物或其任何一部分时，不受第三方侵权指控。同时，报价方不得向第三方泄露报价方提供的技术文件等资料。</w:t>
      </w:r>
    </w:p>
    <w:p w:rsidR="00117A48" w:rsidRPr="0026469C" w:rsidRDefault="00117A48">
      <w:pPr>
        <w:ind w:firstLine="480"/>
        <w:rPr>
          <w:rFonts w:ascii="宋体" w:hAnsi="宋体"/>
          <w:sz w:val="24"/>
          <w:szCs w:val="24"/>
        </w:rPr>
      </w:pPr>
    </w:p>
    <w:sectPr w:rsidR="00117A48" w:rsidRPr="00264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153227"/>
    <w:multiLevelType w:val="singleLevel"/>
    <w:tmpl w:val="F2153227"/>
    <w:lvl w:ilvl="0">
      <w:start w:val="1"/>
      <w:numFmt w:val="decimal"/>
      <w:suff w:val="nothing"/>
      <w:lvlText w:val="（%1）"/>
      <w:lvlJc w:val="left"/>
    </w:lvl>
  </w:abstractNum>
  <w:num w:numId="1" w16cid:durableId="67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9C"/>
    <w:rsid w:val="00117A48"/>
    <w:rsid w:val="0026469C"/>
    <w:rsid w:val="006C24BE"/>
    <w:rsid w:val="007F5C09"/>
    <w:rsid w:val="00A0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EAFD"/>
  <w15:chartTrackingRefBased/>
  <w15:docId w15:val="{995051ED-5A0D-43F6-B3EB-C8099BC0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6469C"/>
    <w:pPr>
      <w:widowControl w:val="0"/>
      <w:spacing w:line="440" w:lineRule="exact"/>
      <w:ind w:firstLineChars="200" w:firstLine="702"/>
      <w:jc w:val="both"/>
    </w:pPr>
    <w:rPr>
      <w:rFonts w:eastAsia="宋体"/>
    </w:rPr>
  </w:style>
  <w:style w:type="paragraph" w:styleId="1">
    <w:name w:val="heading 1"/>
    <w:basedOn w:val="a"/>
    <w:next w:val="a"/>
    <w:link w:val="10"/>
    <w:qFormat/>
    <w:rsid w:val="0026469C"/>
    <w:pPr>
      <w:keepNext/>
      <w:keepLines/>
      <w:spacing w:line="360" w:lineRule="auto"/>
      <w:ind w:firstLineChars="0" w:firstLine="0"/>
      <w:jc w:val="center"/>
      <w:outlineLvl w:val="0"/>
    </w:pPr>
    <w:rPr>
      <w:rFonts w:ascii="Times New Roman" w:hAnsi="Times New Roman" w:cs="Times New Roman"/>
      <w:b/>
      <w:bCs/>
      <w:kern w:val="44"/>
      <w:sz w:val="44"/>
      <w:szCs w:val="44"/>
    </w:rPr>
  </w:style>
  <w:style w:type="paragraph" w:styleId="2">
    <w:name w:val="heading 2"/>
    <w:basedOn w:val="a"/>
    <w:next w:val="a"/>
    <w:link w:val="20"/>
    <w:qFormat/>
    <w:rsid w:val="0026469C"/>
    <w:pPr>
      <w:keepNext/>
      <w:keepLines/>
      <w:widowControl/>
      <w:spacing w:line="288" w:lineRule="auto"/>
      <w:jc w:val="left"/>
      <w:outlineLvl w:val="1"/>
    </w:pPr>
    <w:rPr>
      <w:rFonts w:ascii="Arial" w:hAnsi="Arial" w:cs="Times New Roman"/>
      <w:b/>
      <w:kern w:val="0"/>
      <w:sz w:val="32"/>
      <w:szCs w:val="20"/>
    </w:rPr>
  </w:style>
  <w:style w:type="paragraph" w:styleId="3">
    <w:name w:val="heading 3"/>
    <w:basedOn w:val="a"/>
    <w:next w:val="a"/>
    <w:link w:val="30"/>
    <w:uiPriority w:val="9"/>
    <w:unhideWhenUsed/>
    <w:qFormat/>
    <w:rsid w:val="0026469C"/>
    <w:pPr>
      <w:keepNext/>
      <w:keepLines/>
      <w:spacing w:line="360" w:lineRule="auto"/>
      <w:outlineLvl w:val="2"/>
    </w:pPr>
    <w:rPr>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26469C"/>
    <w:rPr>
      <w:rFonts w:ascii="Times New Roman" w:eastAsia="宋体" w:hAnsi="Times New Roman" w:cs="Times New Roman"/>
      <w:b/>
      <w:bCs/>
      <w:kern w:val="44"/>
      <w:sz w:val="44"/>
      <w:szCs w:val="44"/>
    </w:rPr>
  </w:style>
  <w:style w:type="character" w:customStyle="1" w:styleId="20">
    <w:name w:val="标题 2 字符"/>
    <w:basedOn w:val="a1"/>
    <w:link w:val="2"/>
    <w:qFormat/>
    <w:rsid w:val="0026469C"/>
    <w:rPr>
      <w:rFonts w:ascii="Arial" w:eastAsia="宋体" w:hAnsi="Arial" w:cs="Times New Roman"/>
      <w:b/>
      <w:kern w:val="0"/>
      <w:sz w:val="32"/>
      <w:szCs w:val="20"/>
    </w:rPr>
  </w:style>
  <w:style w:type="character" w:customStyle="1" w:styleId="30">
    <w:name w:val="标题 3 字符"/>
    <w:basedOn w:val="a1"/>
    <w:link w:val="3"/>
    <w:uiPriority w:val="9"/>
    <w:qFormat/>
    <w:rsid w:val="0026469C"/>
    <w:rPr>
      <w:rFonts w:eastAsia="宋体"/>
      <w:b/>
      <w:sz w:val="30"/>
    </w:rPr>
  </w:style>
  <w:style w:type="paragraph" w:styleId="a4">
    <w:name w:val="Body Text"/>
    <w:basedOn w:val="a"/>
    <w:link w:val="a5"/>
    <w:uiPriority w:val="99"/>
    <w:semiHidden/>
    <w:unhideWhenUsed/>
    <w:rsid w:val="0026469C"/>
    <w:pPr>
      <w:spacing w:after="120"/>
    </w:pPr>
  </w:style>
  <w:style w:type="character" w:customStyle="1" w:styleId="a5">
    <w:name w:val="正文文本 字符"/>
    <w:basedOn w:val="a1"/>
    <w:link w:val="a4"/>
    <w:uiPriority w:val="99"/>
    <w:semiHidden/>
    <w:rsid w:val="0026469C"/>
    <w:rPr>
      <w:rFonts w:eastAsia="宋体"/>
    </w:rPr>
  </w:style>
  <w:style w:type="paragraph" w:styleId="a0">
    <w:name w:val="Body Text First Indent"/>
    <w:basedOn w:val="a"/>
    <w:next w:val="a"/>
    <w:link w:val="a6"/>
    <w:uiPriority w:val="99"/>
    <w:qFormat/>
    <w:rsid w:val="0026469C"/>
    <w:pPr>
      <w:spacing w:after="120" w:line="275" w:lineRule="atLeast"/>
      <w:ind w:firstLine="420"/>
      <w:textAlignment w:val="baseline"/>
    </w:pPr>
  </w:style>
  <w:style w:type="character" w:customStyle="1" w:styleId="a6">
    <w:name w:val="正文文本首行缩进 字符"/>
    <w:basedOn w:val="a5"/>
    <w:link w:val="a0"/>
    <w:uiPriority w:val="99"/>
    <w:rsid w:val="0026469C"/>
    <w:rPr>
      <w:rFonts w:eastAsia="宋体"/>
    </w:rPr>
  </w:style>
  <w:style w:type="paragraph" w:styleId="a7">
    <w:name w:val="annotation text"/>
    <w:basedOn w:val="a"/>
    <w:next w:val="a"/>
    <w:link w:val="a8"/>
    <w:uiPriority w:val="99"/>
    <w:unhideWhenUsed/>
    <w:qFormat/>
    <w:rsid w:val="0026469C"/>
    <w:pPr>
      <w:spacing w:line="100" w:lineRule="exact"/>
      <w:jc w:val="left"/>
    </w:pPr>
  </w:style>
  <w:style w:type="character" w:customStyle="1" w:styleId="a8">
    <w:name w:val="批注文字 字符"/>
    <w:basedOn w:val="a1"/>
    <w:link w:val="a7"/>
    <w:uiPriority w:val="99"/>
    <w:qFormat/>
    <w:rsid w:val="0026469C"/>
    <w:rPr>
      <w:rFonts w:eastAsia="宋体"/>
    </w:rPr>
  </w:style>
  <w:style w:type="paragraph" w:customStyle="1" w:styleId="a9">
    <w:name w:val="副标题【正】"/>
    <w:basedOn w:val="a"/>
    <w:next w:val="a"/>
    <w:qFormat/>
    <w:rsid w:val="0026469C"/>
    <w:pPr>
      <w:spacing w:line="360" w:lineRule="auto"/>
      <w:ind w:firstLineChars="0" w:firstLine="0"/>
      <w:jc w:val="center"/>
    </w:pPr>
    <w:rPr>
      <w:b/>
      <w:sz w:val="32"/>
    </w:rPr>
  </w:style>
  <w:style w:type="paragraph" w:customStyle="1" w:styleId="15">
    <w:name w:val="无缩进15"/>
    <w:basedOn w:val="a"/>
    <w:next w:val="a"/>
    <w:qFormat/>
    <w:rsid w:val="0026469C"/>
    <w:pPr>
      <w:spacing w:line="300" w:lineRule="exact"/>
      <w:ind w:firstLineChars="0" w:firstLine="0"/>
    </w:pPr>
  </w:style>
  <w:style w:type="paragraph" w:customStyle="1" w:styleId="150">
    <w:name w:val="无缩进15居中"/>
    <w:basedOn w:val="a"/>
    <w:next w:val="a"/>
    <w:qFormat/>
    <w:rsid w:val="0026469C"/>
    <w:pPr>
      <w:spacing w:line="300" w:lineRule="exact"/>
      <w:ind w:firstLineChars="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2022-10-12T07:34:00Z</dcterms:created>
  <dcterms:modified xsi:type="dcterms:W3CDTF">2022-10-13T07:36:00Z</dcterms:modified>
</cp:coreProperties>
</file>